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EECC5" w14:textId="77777777" w:rsidR="00AD12EB" w:rsidRDefault="00637C38" w:rsidP="00637C38">
      <w:pPr>
        <w:jc w:val="center"/>
        <w:rPr>
          <w:b/>
          <w:sz w:val="36"/>
          <w:szCs w:val="36"/>
          <w:lang w:val="fr-CH"/>
        </w:rPr>
      </w:pPr>
      <w:r w:rsidRPr="00AD12EB">
        <w:rPr>
          <w:b/>
          <w:sz w:val="36"/>
          <w:szCs w:val="36"/>
          <w:lang w:val="fr-CH"/>
        </w:rPr>
        <w:t>Lett</w:t>
      </w:r>
      <w:r w:rsidR="00AD12EB" w:rsidRPr="00AD12EB">
        <w:rPr>
          <w:b/>
          <w:sz w:val="36"/>
          <w:szCs w:val="36"/>
          <w:lang w:val="fr-CH"/>
        </w:rPr>
        <w:t>re de la société civile international</w:t>
      </w:r>
      <w:r w:rsidR="00AD12EB">
        <w:rPr>
          <w:b/>
          <w:sz w:val="36"/>
          <w:szCs w:val="36"/>
          <w:lang w:val="fr-CH"/>
        </w:rPr>
        <w:t>e</w:t>
      </w:r>
      <w:r w:rsidR="00AD12EB" w:rsidRPr="00AD12EB">
        <w:rPr>
          <w:b/>
          <w:sz w:val="36"/>
          <w:szCs w:val="36"/>
          <w:lang w:val="fr-CH"/>
        </w:rPr>
        <w:t xml:space="preserve"> </w:t>
      </w:r>
    </w:p>
    <w:p w14:paraId="511E0AD8" w14:textId="77777777" w:rsidR="003B4210" w:rsidRDefault="003B4210" w:rsidP="00637C38">
      <w:pPr>
        <w:jc w:val="center"/>
        <w:rPr>
          <w:b/>
          <w:sz w:val="36"/>
          <w:szCs w:val="36"/>
          <w:lang w:val="fr-CH"/>
        </w:rPr>
      </w:pPr>
      <w:r>
        <w:rPr>
          <w:b/>
          <w:sz w:val="36"/>
          <w:szCs w:val="36"/>
          <w:lang w:val="fr-CH"/>
        </w:rPr>
        <w:t xml:space="preserve">Sur </w:t>
      </w:r>
      <w:r w:rsidR="00AD12EB" w:rsidRPr="00AD12EB">
        <w:rPr>
          <w:b/>
          <w:sz w:val="36"/>
          <w:szCs w:val="36"/>
          <w:lang w:val="fr-CH"/>
        </w:rPr>
        <w:t xml:space="preserve">l’agenda </w:t>
      </w:r>
      <w:r>
        <w:rPr>
          <w:b/>
          <w:sz w:val="36"/>
          <w:szCs w:val="36"/>
          <w:lang w:val="fr-CH"/>
        </w:rPr>
        <w:t xml:space="preserve">en vue </w:t>
      </w:r>
      <w:r w:rsidR="00AD12EB">
        <w:rPr>
          <w:b/>
          <w:sz w:val="36"/>
          <w:szCs w:val="36"/>
          <w:lang w:val="fr-CH"/>
        </w:rPr>
        <w:t>de la 11</w:t>
      </w:r>
      <w:r w:rsidR="00AD12EB" w:rsidRPr="00AD12EB">
        <w:rPr>
          <w:b/>
          <w:sz w:val="36"/>
          <w:szCs w:val="36"/>
          <w:vertAlign w:val="superscript"/>
          <w:lang w:val="fr-CH"/>
        </w:rPr>
        <w:t>ème</w:t>
      </w:r>
      <w:r w:rsidR="00AD12EB">
        <w:rPr>
          <w:b/>
          <w:sz w:val="36"/>
          <w:szCs w:val="36"/>
          <w:lang w:val="fr-CH"/>
        </w:rPr>
        <w:t xml:space="preserve"> conférence ministérielle</w:t>
      </w:r>
    </w:p>
    <w:p w14:paraId="0892F30A" w14:textId="77777777" w:rsidR="00AD12EB" w:rsidRPr="00AD12EB" w:rsidRDefault="003B4210" w:rsidP="00637C38">
      <w:pPr>
        <w:jc w:val="center"/>
        <w:rPr>
          <w:b/>
          <w:sz w:val="36"/>
          <w:szCs w:val="36"/>
          <w:lang w:val="fr-CH"/>
        </w:rPr>
      </w:pPr>
      <w:proofErr w:type="gramStart"/>
      <w:r>
        <w:rPr>
          <w:b/>
          <w:sz w:val="36"/>
          <w:szCs w:val="36"/>
          <w:lang w:val="fr-CH"/>
        </w:rPr>
        <w:t>de</w:t>
      </w:r>
      <w:proofErr w:type="gramEnd"/>
      <w:r>
        <w:rPr>
          <w:b/>
          <w:sz w:val="36"/>
          <w:szCs w:val="36"/>
          <w:lang w:val="fr-CH"/>
        </w:rPr>
        <w:t xml:space="preserve"> l’OMC </w:t>
      </w:r>
    </w:p>
    <w:p w14:paraId="08826FB2" w14:textId="77777777" w:rsidR="00637C38" w:rsidRPr="00AD12EB" w:rsidRDefault="00637C38">
      <w:pPr>
        <w:rPr>
          <w:lang w:val="fr-CH"/>
        </w:rPr>
      </w:pPr>
    </w:p>
    <w:p w14:paraId="0F03C7D3" w14:textId="45437638" w:rsidR="00637C38" w:rsidRPr="00AD12EB" w:rsidRDefault="001301E1">
      <w:pPr>
        <w:rPr>
          <w:sz w:val="22"/>
          <w:szCs w:val="22"/>
          <w:lang w:val="fr-CH"/>
        </w:rPr>
      </w:pPr>
      <w:proofErr w:type="spellStart"/>
      <w:r>
        <w:rPr>
          <w:sz w:val="22"/>
          <w:szCs w:val="22"/>
          <w:lang w:val="fr-CH"/>
        </w:rPr>
        <w:t>Octu</w:t>
      </w:r>
      <w:r w:rsidR="00637C38" w:rsidRPr="00AD12EB">
        <w:rPr>
          <w:sz w:val="22"/>
          <w:szCs w:val="22"/>
          <w:lang w:val="fr-CH"/>
        </w:rPr>
        <w:t>b</w:t>
      </w:r>
      <w:r w:rsidR="00AD12EB" w:rsidRPr="00AD12EB">
        <w:rPr>
          <w:sz w:val="22"/>
          <w:szCs w:val="22"/>
          <w:lang w:val="fr-CH"/>
        </w:rPr>
        <w:t>re</w:t>
      </w:r>
      <w:proofErr w:type="spellEnd"/>
      <w:r w:rsidR="00637C38" w:rsidRPr="00AD12EB">
        <w:rPr>
          <w:sz w:val="22"/>
          <w:szCs w:val="22"/>
          <w:lang w:val="fr-CH"/>
        </w:rPr>
        <w:t xml:space="preserve"> 2017</w:t>
      </w:r>
    </w:p>
    <w:p w14:paraId="1F159A0F" w14:textId="77777777" w:rsidR="00637C38" w:rsidRPr="00AD12EB" w:rsidRDefault="00637C38">
      <w:pPr>
        <w:rPr>
          <w:sz w:val="22"/>
          <w:szCs w:val="22"/>
          <w:lang w:val="fr-CH"/>
        </w:rPr>
      </w:pPr>
    </w:p>
    <w:p w14:paraId="1AC3F1F7" w14:textId="77777777" w:rsidR="00504313" w:rsidRPr="00AD12EB" w:rsidRDefault="00AD12EB">
      <w:pPr>
        <w:rPr>
          <w:sz w:val="22"/>
          <w:szCs w:val="22"/>
          <w:lang w:val="fr-CH"/>
        </w:rPr>
      </w:pPr>
      <w:r w:rsidRPr="00AD12EB">
        <w:rPr>
          <w:sz w:val="22"/>
          <w:szCs w:val="22"/>
          <w:lang w:val="fr-CH"/>
        </w:rPr>
        <w:t xml:space="preserve">Chers </w:t>
      </w:r>
      <w:r w:rsidR="0023515D" w:rsidRPr="00AD12EB">
        <w:rPr>
          <w:sz w:val="22"/>
          <w:szCs w:val="22"/>
          <w:lang w:val="fr-CH"/>
        </w:rPr>
        <w:t>membres</w:t>
      </w:r>
      <w:r w:rsidRPr="00AD12EB">
        <w:rPr>
          <w:sz w:val="22"/>
          <w:szCs w:val="22"/>
          <w:lang w:val="fr-CH"/>
        </w:rPr>
        <w:t xml:space="preserve"> de l’Organisation </w:t>
      </w:r>
      <w:r>
        <w:rPr>
          <w:sz w:val="22"/>
          <w:szCs w:val="22"/>
          <w:lang w:val="fr-CH"/>
        </w:rPr>
        <w:t>mondiale du c</w:t>
      </w:r>
      <w:r w:rsidRPr="00AD12EB">
        <w:rPr>
          <w:sz w:val="22"/>
          <w:szCs w:val="22"/>
          <w:lang w:val="fr-CH"/>
        </w:rPr>
        <w:t>ommerce (OMC)</w:t>
      </w:r>
      <w:r w:rsidR="00637C38" w:rsidRPr="00AD12EB">
        <w:rPr>
          <w:sz w:val="22"/>
          <w:szCs w:val="22"/>
          <w:lang w:val="fr-CH"/>
        </w:rPr>
        <w:t>,</w:t>
      </w:r>
    </w:p>
    <w:p w14:paraId="6A265344" w14:textId="77777777" w:rsidR="00637C38" w:rsidRPr="00AD12EB" w:rsidRDefault="00637C38">
      <w:pPr>
        <w:rPr>
          <w:sz w:val="22"/>
          <w:szCs w:val="22"/>
          <w:lang w:val="fr-CH"/>
        </w:rPr>
      </w:pPr>
    </w:p>
    <w:p w14:paraId="5B553CEE" w14:textId="02FD87C0" w:rsidR="00AD12EB" w:rsidRPr="001301E1" w:rsidRDefault="00AD12EB">
      <w:pPr>
        <w:rPr>
          <w:rFonts w:ascii="Times New Roman" w:eastAsia="Times New Roman" w:hAnsi="Times New Roman" w:cs="Times New Roman"/>
        </w:rPr>
      </w:pPr>
      <w:r>
        <w:rPr>
          <w:sz w:val="22"/>
          <w:szCs w:val="22"/>
          <w:lang w:val="fr-CH"/>
        </w:rPr>
        <w:t xml:space="preserve">Nous écrivons </w:t>
      </w:r>
      <w:r w:rsidRPr="001301E1">
        <w:rPr>
          <w:rFonts w:ascii="Calibri" w:hAnsi="Calibri"/>
          <w:sz w:val="22"/>
          <w:szCs w:val="22"/>
          <w:lang w:val="fr-CH"/>
        </w:rPr>
        <w:t xml:space="preserve">en tant que </w:t>
      </w:r>
      <w:r w:rsidR="001301E1" w:rsidRPr="001301E1">
        <w:rPr>
          <w:rFonts w:ascii="Calibri" w:eastAsia="Times New Roman" w:hAnsi="Calibri" w:cs="Times New Roman"/>
          <w:sz w:val="22"/>
          <w:szCs w:val="22"/>
          <w:lang w:val="fr-FR"/>
        </w:rPr>
        <w:t>centaines d'organisations</w:t>
      </w:r>
      <w:r w:rsidR="001301E1" w:rsidRPr="001301E1">
        <w:rPr>
          <w:rFonts w:ascii="Calibri" w:eastAsia="Times New Roman" w:hAnsi="Calibri" w:cs="Times New Roman"/>
          <w:sz w:val="22"/>
          <w:szCs w:val="22"/>
        </w:rPr>
        <w:t xml:space="preserve"> </w:t>
      </w:r>
      <w:r w:rsidRPr="001301E1">
        <w:rPr>
          <w:rFonts w:ascii="Calibri" w:hAnsi="Calibri"/>
          <w:sz w:val="22"/>
          <w:szCs w:val="22"/>
          <w:lang w:val="fr-CH"/>
        </w:rPr>
        <w:t>membres</w:t>
      </w:r>
      <w:r>
        <w:rPr>
          <w:sz w:val="22"/>
          <w:szCs w:val="22"/>
          <w:lang w:val="fr-CH"/>
        </w:rPr>
        <w:t xml:space="preserve"> de la soc</w:t>
      </w:r>
      <w:r w:rsidR="001301E1">
        <w:rPr>
          <w:sz w:val="22"/>
          <w:szCs w:val="22"/>
          <w:lang w:val="fr-CH"/>
        </w:rPr>
        <w:t>iété civile internationale de plus de 50</w:t>
      </w:r>
      <w:r>
        <w:rPr>
          <w:sz w:val="22"/>
          <w:szCs w:val="22"/>
          <w:lang w:val="fr-CH"/>
        </w:rPr>
        <w:t xml:space="preserve"> pays, représentant des dizaines de millions de personnes </w:t>
      </w:r>
      <w:r w:rsidR="0023515D">
        <w:rPr>
          <w:sz w:val="22"/>
          <w:szCs w:val="22"/>
          <w:lang w:val="fr-CH"/>
        </w:rPr>
        <w:t xml:space="preserve">de par le </w:t>
      </w:r>
      <w:r>
        <w:rPr>
          <w:sz w:val="22"/>
          <w:szCs w:val="22"/>
          <w:lang w:val="fr-CH"/>
        </w:rPr>
        <w:t xml:space="preserve">monde, concernant les négociations en cours à l’Organisation mondiale du commerce (OMC) </w:t>
      </w:r>
      <w:r w:rsidR="00E93DD4">
        <w:rPr>
          <w:sz w:val="22"/>
          <w:szCs w:val="22"/>
          <w:lang w:val="fr-CH"/>
        </w:rPr>
        <w:t xml:space="preserve">en vue de la </w:t>
      </w:r>
      <w:r>
        <w:rPr>
          <w:sz w:val="22"/>
          <w:szCs w:val="22"/>
          <w:lang w:val="fr-CH"/>
        </w:rPr>
        <w:t>11</w:t>
      </w:r>
      <w:r w:rsidRPr="00AD12EB">
        <w:rPr>
          <w:sz w:val="22"/>
          <w:szCs w:val="22"/>
          <w:vertAlign w:val="superscript"/>
          <w:lang w:val="fr-CH"/>
        </w:rPr>
        <w:t>ème</w:t>
      </w:r>
      <w:r>
        <w:rPr>
          <w:sz w:val="22"/>
          <w:szCs w:val="22"/>
          <w:lang w:val="fr-CH"/>
        </w:rPr>
        <w:t xml:space="preserve"> conférence ministérielle (CM 11) </w:t>
      </w:r>
      <w:r w:rsidR="0023515D">
        <w:rPr>
          <w:sz w:val="22"/>
          <w:szCs w:val="22"/>
          <w:lang w:val="fr-CH"/>
        </w:rPr>
        <w:t xml:space="preserve">qui se tiendra </w:t>
      </w:r>
      <w:r>
        <w:rPr>
          <w:sz w:val="22"/>
          <w:szCs w:val="22"/>
          <w:lang w:val="fr-CH"/>
        </w:rPr>
        <w:t xml:space="preserve">à Buenos Aires </w:t>
      </w:r>
      <w:r w:rsidR="0023515D">
        <w:rPr>
          <w:sz w:val="22"/>
          <w:szCs w:val="22"/>
          <w:lang w:val="fr-CH"/>
        </w:rPr>
        <w:t xml:space="preserve">du </w:t>
      </w:r>
      <w:r>
        <w:rPr>
          <w:sz w:val="22"/>
          <w:szCs w:val="22"/>
          <w:lang w:val="fr-CH"/>
        </w:rPr>
        <w:t>10 – 13 décembre 2017.</w:t>
      </w:r>
    </w:p>
    <w:p w14:paraId="700F5F82" w14:textId="77777777" w:rsidR="00AD12EB" w:rsidRDefault="00AD12EB">
      <w:pPr>
        <w:rPr>
          <w:sz w:val="22"/>
          <w:szCs w:val="22"/>
          <w:lang w:val="fr-CH"/>
        </w:rPr>
      </w:pPr>
    </w:p>
    <w:p w14:paraId="18CFF165" w14:textId="77777777" w:rsidR="00AD12EB" w:rsidRDefault="00AD12EB" w:rsidP="00AD12EB">
      <w:pPr>
        <w:jc w:val="both"/>
        <w:rPr>
          <w:sz w:val="22"/>
          <w:szCs w:val="22"/>
          <w:lang w:val="fr-CH"/>
        </w:rPr>
      </w:pPr>
      <w:r>
        <w:rPr>
          <w:sz w:val="22"/>
          <w:szCs w:val="22"/>
          <w:lang w:val="fr-CH"/>
        </w:rPr>
        <w:t xml:space="preserve">Nous </w:t>
      </w:r>
      <w:r w:rsidR="0023515D">
        <w:rPr>
          <w:sz w:val="22"/>
          <w:szCs w:val="22"/>
          <w:lang w:val="fr-CH"/>
        </w:rPr>
        <w:t xml:space="preserve">sommes inquiets suite à la parution </w:t>
      </w:r>
      <w:r>
        <w:rPr>
          <w:sz w:val="22"/>
          <w:szCs w:val="22"/>
          <w:lang w:val="fr-CH"/>
        </w:rPr>
        <w:t xml:space="preserve">d’articles </w:t>
      </w:r>
      <w:r w:rsidR="0096542B">
        <w:rPr>
          <w:sz w:val="22"/>
          <w:szCs w:val="22"/>
          <w:lang w:val="fr-CH"/>
        </w:rPr>
        <w:t xml:space="preserve">de presse </w:t>
      </w:r>
      <w:r>
        <w:rPr>
          <w:sz w:val="22"/>
          <w:szCs w:val="22"/>
          <w:lang w:val="fr-CH"/>
        </w:rPr>
        <w:t xml:space="preserve">indiquant que quelques membres de l’OMC </w:t>
      </w:r>
      <w:r w:rsidR="0023515D">
        <w:rPr>
          <w:sz w:val="22"/>
          <w:szCs w:val="22"/>
          <w:lang w:val="fr-CH"/>
        </w:rPr>
        <w:t>pousse</w:t>
      </w:r>
      <w:r w:rsidR="0096542B">
        <w:rPr>
          <w:sz w:val="22"/>
          <w:szCs w:val="22"/>
          <w:lang w:val="fr-CH"/>
        </w:rPr>
        <w:t>nt</w:t>
      </w:r>
      <w:r w:rsidR="0023515D">
        <w:rPr>
          <w:sz w:val="22"/>
          <w:szCs w:val="22"/>
          <w:lang w:val="fr-CH"/>
        </w:rPr>
        <w:t xml:space="preserve"> </w:t>
      </w:r>
      <w:r>
        <w:rPr>
          <w:sz w:val="22"/>
          <w:szCs w:val="22"/>
          <w:lang w:val="fr-CH"/>
        </w:rPr>
        <w:t>un agenda nouveau et inapproprié sous le</w:t>
      </w:r>
      <w:bookmarkStart w:id="0" w:name="_GoBack"/>
      <w:bookmarkEnd w:id="0"/>
      <w:r>
        <w:rPr>
          <w:sz w:val="22"/>
          <w:szCs w:val="22"/>
          <w:lang w:val="fr-CH"/>
        </w:rPr>
        <w:t xml:space="preserve"> nom fallacieux de « commerce électronique »,</w:t>
      </w:r>
      <w:r w:rsidR="0023515D">
        <w:rPr>
          <w:sz w:val="22"/>
          <w:szCs w:val="22"/>
          <w:lang w:val="fr-CH"/>
        </w:rPr>
        <w:t xml:space="preserve"> </w:t>
      </w:r>
      <w:r>
        <w:rPr>
          <w:sz w:val="22"/>
          <w:szCs w:val="22"/>
          <w:lang w:val="fr-CH"/>
        </w:rPr>
        <w:t>alors même qu’il n’y a</w:t>
      </w:r>
      <w:r w:rsidR="0096542B">
        <w:rPr>
          <w:sz w:val="22"/>
          <w:szCs w:val="22"/>
          <w:lang w:val="fr-CH"/>
        </w:rPr>
        <w:t xml:space="preserve">vait </w:t>
      </w:r>
      <w:r>
        <w:rPr>
          <w:sz w:val="22"/>
          <w:szCs w:val="22"/>
          <w:lang w:val="fr-CH"/>
        </w:rPr>
        <w:t xml:space="preserve"> pas de consensus pour introduire ce nouveau sujet </w:t>
      </w:r>
      <w:r w:rsidR="0096542B">
        <w:rPr>
          <w:sz w:val="22"/>
          <w:szCs w:val="22"/>
          <w:lang w:val="fr-CH"/>
        </w:rPr>
        <w:t xml:space="preserve">à </w:t>
      </w:r>
      <w:r>
        <w:rPr>
          <w:sz w:val="22"/>
          <w:szCs w:val="22"/>
          <w:lang w:val="fr-CH"/>
        </w:rPr>
        <w:t>la ministérielle de Nairobi</w:t>
      </w:r>
      <w:r w:rsidR="00E93DD4">
        <w:rPr>
          <w:sz w:val="22"/>
          <w:szCs w:val="22"/>
          <w:lang w:val="fr-CH"/>
        </w:rPr>
        <w:t xml:space="preserve"> et il n’y en a pas eu </w:t>
      </w:r>
      <w:r w:rsidR="0023515D">
        <w:rPr>
          <w:sz w:val="22"/>
          <w:szCs w:val="22"/>
          <w:lang w:val="fr-CH"/>
        </w:rPr>
        <w:t>depuis</w:t>
      </w:r>
      <w:r>
        <w:rPr>
          <w:sz w:val="22"/>
          <w:szCs w:val="22"/>
          <w:lang w:val="fr-CH"/>
        </w:rPr>
        <w:t xml:space="preserve">. De plus, nous sommes </w:t>
      </w:r>
      <w:r w:rsidR="0023515D">
        <w:rPr>
          <w:sz w:val="22"/>
          <w:szCs w:val="22"/>
          <w:lang w:val="fr-CH"/>
        </w:rPr>
        <w:t xml:space="preserve">alarmés par </w:t>
      </w:r>
      <w:r>
        <w:rPr>
          <w:sz w:val="22"/>
          <w:szCs w:val="22"/>
          <w:lang w:val="fr-CH"/>
        </w:rPr>
        <w:t xml:space="preserve">des articles </w:t>
      </w:r>
      <w:r w:rsidR="0023515D">
        <w:rPr>
          <w:sz w:val="22"/>
          <w:szCs w:val="22"/>
          <w:lang w:val="fr-CH"/>
        </w:rPr>
        <w:t xml:space="preserve">affirmant que </w:t>
      </w:r>
      <w:r>
        <w:rPr>
          <w:sz w:val="22"/>
          <w:szCs w:val="22"/>
          <w:lang w:val="fr-CH"/>
        </w:rPr>
        <w:t>le besoin urgent de changer les règles de l’OMC qui limitent la marge de manœuvre des gouvernements pour créer des emplois</w:t>
      </w:r>
      <w:r w:rsidR="0023515D">
        <w:rPr>
          <w:sz w:val="22"/>
          <w:szCs w:val="22"/>
          <w:lang w:val="fr-CH"/>
        </w:rPr>
        <w:t xml:space="preserve"> et favoriser le développement - </w:t>
      </w:r>
      <w:r>
        <w:rPr>
          <w:sz w:val="22"/>
          <w:szCs w:val="22"/>
          <w:lang w:val="fr-CH"/>
        </w:rPr>
        <w:t>y compris atteindre les Objectifs</w:t>
      </w:r>
      <w:r w:rsidR="0023515D">
        <w:rPr>
          <w:sz w:val="22"/>
          <w:szCs w:val="22"/>
          <w:lang w:val="fr-CH"/>
        </w:rPr>
        <w:t xml:space="preserve"> de développement durable (ODD</w:t>
      </w:r>
      <w:r w:rsidR="00280CC7">
        <w:rPr>
          <w:sz w:val="22"/>
          <w:szCs w:val="22"/>
          <w:lang w:val="fr-CH"/>
        </w:rPr>
        <w:t>)</w:t>
      </w:r>
      <w:r w:rsidR="0023515D">
        <w:rPr>
          <w:sz w:val="22"/>
          <w:szCs w:val="22"/>
          <w:lang w:val="fr-CH"/>
        </w:rPr>
        <w:t xml:space="preserve"> – </w:t>
      </w:r>
      <w:r w:rsidR="0096542B">
        <w:rPr>
          <w:sz w:val="22"/>
          <w:szCs w:val="22"/>
          <w:lang w:val="fr-CH"/>
        </w:rPr>
        <w:t xml:space="preserve">est </w:t>
      </w:r>
      <w:r>
        <w:rPr>
          <w:sz w:val="22"/>
          <w:szCs w:val="22"/>
          <w:lang w:val="fr-CH"/>
        </w:rPr>
        <w:t xml:space="preserve">de plus en plus </w:t>
      </w:r>
      <w:r w:rsidR="00E93DD4">
        <w:rPr>
          <w:sz w:val="22"/>
          <w:szCs w:val="22"/>
          <w:lang w:val="fr-CH"/>
        </w:rPr>
        <w:t xml:space="preserve">entravé </w:t>
      </w:r>
      <w:r>
        <w:rPr>
          <w:sz w:val="22"/>
          <w:szCs w:val="22"/>
          <w:lang w:val="fr-CH"/>
        </w:rPr>
        <w:t>dans les préparations de la 11</w:t>
      </w:r>
      <w:r w:rsidRPr="00AD12EB">
        <w:rPr>
          <w:sz w:val="22"/>
          <w:szCs w:val="22"/>
          <w:vertAlign w:val="superscript"/>
          <w:lang w:val="fr-CH"/>
        </w:rPr>
        <w:t>ème</w:t>
      </w:r>
      <w:r>
        <w:rPr>
          <w:sz w:val="22"/>
          <w:szCs w:val="22"/>
          <w:lang w:val="fr-CH"/>
        </w:rPr>
        <w:t xml:space="preserve"> ministérielle. </w:t>
      </w:r>
    </w:p>
    <w:p w14:paraId="7C6C6A35" w14:textId="77777777" w:rsidR="00AD12EB" w:rsidRDefault="00AD12EB" w:rsidP="00AD12EB">
      <w:pPr>
        <w:jc w:val="both"/>
        <w:rPr>
          <w:sz w:val="22"/>
          <w:szCs w:val="22"/>
          <w:lang w:val="fr-CH"/>
        </w:rPr>
      </w:pPr>
    </w:p>
    <w:p w14:paraId="66336E22" w14:textId="77777777" w:rsidR="00AD12EB" w:rsidRDefault="00AC3DED" w:rsidP="00AD12EB">
      <w:pPr>
        <w:jc w:val="both"/>
        <w:rPr>
          <w:sz w:val="22"/>
          <w:szCs w:val="22"/>
          <w:lang w:val="fr-CH"/>
        </w:rPr>
      </w:pPr>
      <w:r>
        <w:rPr>
          <w:sz w:val="22"/>
          <w:szCs w:val="22"/>
          <w:lang w:val="fr-CH"/>
        </w:rPr>
        <w:t xml:space="preserve">Les citoyens du monde entier ont </w:t>
      </w:r>
      <w:r w:rsidR="00EB7776">
        <w:rPr>
          <w:sz w:val="22"/>
          <w:szCs w:val="22"/>
          <w:lang w:val="fr-CH"/>
        </w:rPr>
        <w:t xml:space="preserve">clairement indiqué </w:t>
      </w:r>
      <w:r>
        <w:rPr>
          <w:sz w:val="22"/>
          <w:szCs w:val="22"/>
          <w:lang w:val="fr-CH"/>
        </w:rPr>
        <w:t xml:space="preserve">aux gouvernements que les règles actuelles de l’économie </w:t>
      </w:r>
      <w:r w:rsidR="00EB7776">
        <w:rPr>
          <w:sz w:val="22"/>
          <w:szCs w:val="22"/>
          <w:lang w:val="fr-CH"/>
        </w:rPr>
        <w:t>mondiale</w:t>
      </w:r>
      <w:r>
        <w:rPr>
          <w:sz w:val="22"/>
          <w:szCs w:val="22"/>
          <w:lang w:val="fr-CH"/>
        </w:rPr>
        <w:t xml:space="preserve">, y compris les règles commerciales internationales, ont creusé les inégalités et appauvri beaucoup trop de </w:t>
      </w:r>
      <w:r w:rsidR="00E93DD4">
        <w:rPr>
          <w:sz w:val="22"/>
          <w:szCs w:val="22"/>
          <w:lang w:val="fr-CH"/>
        </w:rPr>
        <w:t>gens</w:t>
      </w:r>
      <w:r>
        <w:rPr>
          <w:sz w:val="22"/>
          <w:szCs w:val="22"/>
          <w:lang w:val="fr-CH"/>
        </w:rPr>
        <w:t>. Nous exhortons donc les membres de l’OMC à réfléchir à cette dynamique et à prendre des décisions qui permettront au système commerci</w:t>
      </w:r>
      <w:r w:rsidR="00EB7776">
        <w:rPr>
          <w:sz w:val="22"/>
          <w:szCs w:val="22"/>
          <w:lang w:val="fr-CH"/>
        </w:rPr>
        <w:t xml:space="preserve">al international de contribuer au </w:t>
      </w:r>
      <w:r>
        <w:rPr>
          <w:sz w:val="22"/>
          <w:szCs w:val="22"/>
          <w:lang w:val="fr-CH"/>
        </w:rPr>
        <w:t xml:space="preserve"> bien-être et </w:t>
      </w:r>
      <w:r w:rsidR="00EB7776">
        <w:rPr>
          <w:sz w:val="22"/>
          <w:szCs w:val="22"/>
          <w:lang w:val="fr-CH"/>
        </w:rPr>
        <w:t>au</w:t>
      </w:r>
      <w:r>
        <w:rPr>
          <w:sz w:val="22"/>
          <w:szCs w:val="22"/>
          <w:lang w:val="fr-CH"/>
        </w:rPr>
        <w:t xml:space="preserve"> développement commun</w:t>
      </w:r>
      <w:r w:rsidR="00EB7776">
        <w:rPr>
          <w:sz w:val="22"/>
          <w:szCs w:val="22"/>
          <w:lang w:val="fr-CH"/>
        </w:rPr>
        <w:t>, au lieu de le limiter</w:t>
      </w:r>
      <w:r>
        <w:rPr>
          <w:sz w:val="22"/>
          <w:szCs w:val="22"/>
          <w:lang w:val="fr-CH"/>
        </w:rPr>
        <w:t xml:space="preserve">. </w:t>
      </w:r>
    </w:p>
    <w:p w14:paraId="5E150A5B" w14:textId="77777777" w:rsidR="00AC3DED" w:rsidRDefault="00AC3DED" w:rsidP="00AD12EB">
      <w:pPr>
        <w:jc w:val="both"/>
        <w:rPr>
          <w:sz w:val="22"/>
          <w:szCs w:val="22"/>
          <w:lang w:val="fr-CH"/>
        </w:rPr>
      </w:pPr>
    </w:p>
    <w:p w14:paraId="683B367F" w14:textId="77777777" w:rsidR="00AC3DED" w:rsidRDefault="00DF1818" w:rsidP="00AD12EB">
      <w:pPr>
        <w:jc w:val="both"/>
        <w:rPr>
          <w:sz w:val="22"/>
          <w:szCs w:val="22"/>
          <w:lang w:val="fr-CH"/>
        </w:rPr>
      </w:pPr>
      <w:r>
        <w:rPr>
          <w:sz w:val="22"/>
          <w:szCs w:val="22"/>
          <w:lang w:val="fr-CH"/>
        </w:rPr>
        <w:t xml:space="preserve">Nous exposons ci-dessous nos préoccupations sur les questions qui sont, ou devraient être, discutées à l’OMC : </w:t>
      </w:r>
    </w:p>
    <w:p w14:paraId="42A6A67D" w14:textId="77777777" w:rsidR="00DF1818" w:rsidRDefault="00DF1818" w:rsidP="00DF1818">
      <w:pPr>
        <w:pStyle w:val="ListParagraph"/>
        <w:numPr>
          <w:ilvl w:val="0"/>
          <w:numId w:val="2"/>
        </w:numPr>
        <w:jc w:val="both"/>
        <w:rPr>
          <w:sz w:val="22"/>
          <w:szCs w:val="22"/>
          <w:lang w:val="fr-CH"/>
        </w:rPr>
      </w:pPr>
      <w:r>
        <w:rPr>
          <w:sz w:val="22"/>
          <w:szCs w:val="22"/>
          <w:lang w:val="fr-CH"/>
        </w:rPr>
        <w:t xml:space="preserve">Des propositions sur le commerce électronique et son impact sur les lois et </w:t>
      </w:r>
      <w:r w:rsidR="00E93DD4">
        <w:rPr>
          <w:sz w:val="22"/>
          <w:szCs w:val="22"/>
          <w:lang w:val="fr-CH"/>
        </w:rPr>
        <w:t xml:space="preserve">les </w:t>
      </w:r>
      <w:r>
        <w:rPr>
          <w:sz w:val="22"/>
          <w:szCs w:val="22"/>
          <w:lang w:val="fr-CH"/>
        </w:rPr>
        <w:t>ré</w:t>
      </w:r>
      <w:r w:rsidR="00D8747E">
        <w:rPr>
          <w:sz w:val="22"/>
          <w:szCs w:val="22"/>
          <w:lang w:val="fr-CH"/>
        </w:rPr>
        <w:t>glementations</w:t>
      </w:r>
      <w:r>
        <w:rPr>
          <w:sz w:val="22"/>
          <w:szCs w:val="22"/>
          <w:lang w:val="fr-CH"/>
        </w:rPr>
        <w:t xml:space="preserve"> nationales</w:t>
      </w:r>
      <w:r w:rsidR="00E93DD4">
        <w:rPr>
          <w:sz w:val="22"/>
          <w:szCs w:val="22"/>
          <w:lang w:val="fr-CH"/>
        </w:rPr>
        <w:t> ;</w:t>
      </w:r>
    </w:p>
    <w:p w14:paraId="0E4DE906" w14:textId="77777777" w:rsidR="00DF1818" w:rsidRDefault="00DF1818" w:rsidP="00DF1818">
      <w:pPr>
        <w:pStyle w:val="ListParagraph"/>
        <w:numPr>
          <w:ilvl w:val="0"/>
          <w:numId w:val="2"/>
        </w:numPr>
        <w:jc w:val="both"/>
        <w:rPr>
          <w:sz w:val="22"/>
          <w:szCs w:val="22"/>
          <w:lang w:val="fr-CH"/>
        </w:rPr>
      </w:pPr>
      <w:r>
        <w:rPr>
          <w:sz w:val="22"/>
          <w:szCs w:val="22"/>
          <w:lang w:val="fr-CH"/>
        </w:rPr>
        <w:t xml:space="preserve">Des propositions pour limiter </w:t>
      </w:r>
      <w:r w:rsidR="00D8747E">
        <w:rPr>
          <w:sz w:val="22"/>
          <w:szCs w:val="22"/>
          <w:lang w:val="fr-CH"/>
        </w:rPr>
        <w:t>l</w:t>
      </w:r>
      <w:r>
        <w:rPr>
          <w:sz w:val="22"/>
          <w:szCs w:val="22"/>
          <w:lang w:val="fr-CH"/>
        </w:rPr>
        <w:t>a portée et les effets des rég</w:t>
      </w:r>
      <w:r w:rsidR="00D8747E">
        <w:rPr>
          <w:sz w:val="22"/>
          <w:szCs w:val="22"/>
          <w:lang w:val="fr-CH"/>
        </w:rPr>
        <w:t>lementations</w:t>
      </w:r>
      <w:r>
        <w:rPr>
          <w:sz w:val="22"/>
          <w:szCs w:val="22"/>
          <w:lang w:val="fr-CH"/>
        </w:rPr>
        <w:t xml:space="preserve"> dans l’intérêt public;</w:t>
      </w:r>
    </w:p>
    <w:p w14:paraId="5DF135F6" w14:textId="77777777" w:rsidR="00DF1818" w:rsidRDefault="00E334A2" w:rsidP="00DF1818">
      <w:pPr>
        <w:pStyle w:val="ListParagraph"/>
        <w:numPr>
          <w:ilvl w:val="0"/>
          <w:numId w:val="2"/>
        </w:numPr>
        <w:jc w:val="both"/>
        <w:rPr>
          <w:sz w:val="22"/>
          <w:szCs w:val="22"/>
          <w:lang w:val="fr-CH"/>
        </w:rPr>
      </w:pPr>
      <w:r>
        <w:rPr>
          <w:sz w:val="22"/>
          <w:szCs w:val="22"/>
          <w:lang w:val="fr-CH"/>
        </w:rPr>
        <w:t>Des disciplines aux subventions aux pêcheries qui dissuadent la surpêche par les pays riches, mais permettent aux pays pauvres de croître ;</w:t>
      </w:r>
    </w:p>
    <w:p w14:paraId="09B013B5" w14:textId="77777777" w:rsidR="00E334A2" w:rsidRDefault="00E334A2" w:rsidP="00DF1818">
      <w:pPr>
        <w:pStyle w:val="ListParagraph"/>
        <w:numPr>
          <w:ilvl w:val="0"/>
          <w:numId w:val="2"/>
        </w:numPr>
        <w:jc w:val="both"/>
        <w:rPr>
          <w:sz w:val="22"/>
          <w:szCs w:val="22"/>
          <w:lang w:val="fr-CH"/>
        </w:rPr>
      </w:pPr>
      <w:r>
        <w:rPr>
          <w:sz w:val="22"/>
          <w:szCs w:val="22"/>
          <w:lang w:val="fr-CH"/>
        </w:rPr>
        <w:t xml:space="preserve">Le moment est venu de réparer les mauvaises règles existantes, pas de les étendre ; </w:t>
      </w:r>
    </w:p>
    <w:p w14:paraId="42F0CB77" w14:textId="77777777" w:rsidR="00E334A2" w:rsidRDefault="00E334A2" w:rsidP="00DF1818">
      <w:pPr>
        <w:pStyle w:val="ListParagraph"/>
        <w:numPr>
          <w:ilvl w:val="0"/>
          <w:numId w:val="2"/>
        </w:numPr>
        <w:jc w:val="both"/>
        <w:rPr>
          <w:sz w:val="22"/>
          <w:szCs w:val="22"/>
          <w:lang w:val="fr-CH"/>
        </w:rPr>
      </w:pPr>
      <w:r>
        <w:rPr>
          <w:sz w:val="22"/>
          <w:szCs w:val="22"/>
          <w:lang w:val="fr-CH"/>
        </w:rPr>
        <w:t xml:space="preserve">Les règles sur l’agriculture doivent donner la priorité à la sécurité et </w:t>
      </w:r>
      <w:r w:rsidR="00E93DD4">
        <w:rPr>
          <w:sz w:val="22"/>
          <w:szCs w:val="22"/>
          <w:lang w:val="fr-CH"/>
        </w:rPr>
        <w:t xml:space="preserve">à </w:t>
      </w:r>
      <w:r>
        <w:rPr>
          <w:sz w:val="22"/>
          <w:szCs w:val="22"/>
          <w:lang w:val="fr-CH"/>
        </w:rPr>
        <w:t xml:space="preserve">la souveraineté alimentaire ; </w:t>
      </w:r>
    </w:p>
    <w:p w14:paraId="2ABA5D5D" w14:textId="77777777" w:rsidR="00E334A2" w:rsidRDefault="00E334A2" w:rsidP="00DF1818">
      <w:pPr>
        <w:pStyle w:val="ListParagraph"/>
        <w:numPr>
          <w:ilvl w:val="0"/>
          <w:numId w:val="2"/>
        </w:numPr>
        <w:jc w:val="both"/>
        <w:rPr>
          <w:sz w:val="22"/>
          <w:szCs w:val="22"/>
          <w:lang w:val="fr-CH"/>
        </w:rPr>
      </w:pPr>
      <w:r>
        <w:rPr>
          <w:sz w:val="22"/>
          <w:szCs w:val="22"/>
          <w:lang w:val="fr-CH"/>
        </w:rPr>
        <w:t xml:space="preserve">Il faut plus de flexibilité pour les politiques de développement. </w:t>
      </w:r>
    </w:p>
    <w:p w14:paraId="4A9C770D" w14:textId="77777777" w:rsidR="00E334A2" w:rsidRPr="00E334A2" w:rsidRDefault="00E334A2" w:rsidP="00E334A2">
      <w:pPr>
        <w:jc w:val="both"/>
        <w:rPr>
          <w:sz w:val="22"/>
          <w:szCs w:val="22"/>
          <w:lang w:val="fr-CH"/>
        </w:rPr>
      </w:pPr>
    </w:p>
    <w:p w14:paraId="6F900563" w14:textId="77777777" w:rsidR="00AD12EB" w:rsidRDefault="00E334A2">
      <w:pPr>
        <w:rPr>
          <w:b/>
          <w:sz w:val="22"/>
          <w:szCs w:val="22"/>
          <w:lang w:val="fr-CH"/>
        </w:rPr>
      </w:pPr>
      <w:r>
        <w:rPr>
          <w:b/>
          <w:sz w:val="22"/>
          <w:szCs w:val="22"/>
          <w:lang w:val="fr-CH"/>
        </w:rPr>
        <w:t>Faux agenda : commerce électronique</w:t>
      </w:r>
    </w:p>
    <w:p w14:paraId="032B94BD" w14:textId="77777777" w:rsidR="00E334A2" w:rsidRPr="00E334A2" w:rsidRDefault="00E334A2" w:rsidP="00E334A2">
      <w:pPr>
        <w:jc w:val="both"/>
        <w:rPr>
          <w:sz w:val="22"/>
          <w:szCs w:val="22"/>
          <w:lang w:val="fr-CH"/>
        </w:rPr>
      </w:pPr>
      <w:r>
        <w:rPr>
          <w:sz w:val="22"/>
          <w:szCs w:val="22"/>
          <w:lang w:val="fr-CH"/>
        </w:rPr>
        <w:t xml:space="preserve">Des propositions sur le commerce électronique ont été faites à l’OMC l’année passée. Les instigateurs </w:t>
      </w:r>
      <w:r w:rsidR="00273376">
        <w:rPr>
          <w:sz w:val="22"/>
          <w:szCs w:val="22"/>
          <w:lang w:val="fr-CH"/>
        </w:rPr>
        <w:t>prétendent souvent qu</w:t>
      </w:r>
      <w:r w:rsidR="00280CC7">
        <w:rPr>
          <w:sz w:val="22"/>
          <w:szCs w:val="22"/>
          <w:lang w:val="fr-CH"/>
        </w:rPr>
        <w:t xml:space="preserve">’elles </w:t>
      </w:r>
      <w:r w:rsidR="00273376">
        <w:rPr>
          <w:sz w:val="22"/>
          <w:szCs w:val="22"/>
          <w:lang w:val="fr-CH"/>
        </w:rPr>
        <w:t xml:space="preserve">sont </w:t>
      </w:r>
      <w:r>
        <w:rPr>
          <w:sz w:val="22"/>
          <w:szCs w:val="22"/>
          <w:lang w:val="fr-CH"/>
        </w:rPr>
        <w:t xml:space="preserve">nécessaires à promouvoir le développement </w:t>
      </w:r>
      <w:r w:rsidR="00273376">
        <w:rPr>
          <w:sz w:val="22"/>
          <w:szCs w:val="22"/>
          <w:lang w:val="fr-CH"/>
        </w:rPr>
        <w:t xml:space="preserve">grâce aux </w:t>
      </w:r>
      <w:r>
        <w:rPr>
          <w:sz w:val="22"/>
          <w:szCs w:val="22"/>
          <w:lang w:val="fr-CH"/>
        </w:rPr>
        <w:t xml:space="preserve">petites et moyennes entreprises (PME). Mais les PME sont le moins susceptibles d’entrer en compétition avec les </w:t>
      </w:r>
      <w:r w:rsidR="00273376">
        <w:rPr>
          <w:sz w:val="22"/>
          <w:szCs w:val="22"/>
          <w:lang w:val="fr-CH"/>
        </w:rPr>
        <w:t xml:space="preserve">énormes </w:t>
      </w:r>
      <w:r>
        <w:rPr>
          <w:sz w:val="22"/>
          <w:szCs w:val="22"/>
          <w:lang w:val="fr-CH"/>
        </w:rPr>
        <w:t xml:space="preserve">multinationales qui bénéficient d’économies d’échelle, </w:t>
      </w:r>
      <w:r w:rsidR="00273376">
        <w:rPr>
          <w:sz w:val="22"/>
          <w:szCs w:val="22"/>
          <w:lang w:val="fr-CH"/>
        </w:rPr>
        <w:t xml:space="preserve">de </w:t>
      </w:r>
      <w:r>
        <w:rPr>
          <w:sz w:val="22"/>
          <w:szCs w:val="22"/>
          <w:lang w:val="fr-CH"/>
        </w:rPr>
        <w:t xml:space="preserve">subventions historiques, </w:t>
      </w:r>
      <w:r w:rsidR="00273376">
        <w:rPr>
          <w:sz w:val="22"/>
          <w:szCs w:val="22"/>
          <w:lang w:val="fr-CH"/>
        </w:rPr>
        <w:t>d’</w:t>
      </w:r>
      <w:r>
        <w:rPr>
          <w:sz w:val="22"/>
          <w:szCs w:val="22"/>
          <w:lang w:val="fr-CH"/>
        </w:rPr>
        <w:t>avancées technologiques,</w:t>
      </w:r>
      <w:r w:rsidR="00273376">
        <w:rPr>
          <w:sz w:val="22"/>
          <w:szCs w:val="22"/>
          <w:lang w:val="fr-CH"/>
        </w:rPr>
        <w:t xml:space="preserve"> d’une </w:t>
      </w:r>
      <w:r>
        <w:rPr>
          <w:sz w:val="22"/>
          <w:szCs w:val="22"/>
          <w:lang w:val="fr-CH"/>
        </w:rPr>
        <w:t xml:space="preserve">infrastructure </w:t>
      </w:r>
      <w:r w:rsidR="00273376">
        <w:rPr>
          <w:sz w:val="22"/>
          <w:szCs w:val="22"/>
          <w:lang w:val="fr-CH"/>
        </w:rPr>
        <w:t xml:space="preserve">puissante </w:t>
      </w:r>
      <w:r>
        <w:rPr>
          <w:sz w:val="22"/>
          <w:szCs w:val="22"/>
          <w:lang w:val="fr-CH"/>
        </w:rPr>
        <w:t xml:space="preserve">sponsorisée par l’Etat, </w:t>
      </w:r>
      <w:r w:rsidR="00524CA6">
        <w:rPr>
          <w:sz w:val="22"/>
          <w:szCs w:val="22"/>
          <w:lang w:val="fr-CH"/>
        </w:rPr>
        <w:t>de stratégies d’évitement fiscal et</w:t>
      </w:r>
      <w:r w:rsidR="00273376">
        <w:rPr>
          <w:sz w:val="22"/>
          <w:szCs w:val="22"/>
          <w:lang w:val="fr-CH"/>
        </w:rPr>
        <w:t xml:space="preserve"> d’</w:t>
      </w:r>
      <w:r w:rsidR="00524CA6">
        <w:rPr>
          <w:sz w:val="22"/>
          <w:szCs w:val="22"/>
          <w:lang w:val="fr-CH"/>
        </w:rPr>
        <w:t xml:space="preserve">un système de règles commerciales écrit pour elles </w:t>
      </w:r>
      <w:r w:rsidR="00475FB3">
        <w:rPr>
          <w:sz w:val="22"/>
          <w:szCs w:val="22"/>
          <w:lang w:val="fr-CH"/>
        </w:rPr>
        <w:t xml:space="preserve">et </w:t>
      </w:r>
      <w:r w:rsidR="00273376">
        <w:rPr>
          <w:sz w:val="22"/>
          <w:szCs w:val="22"/>
          <w:lang w:val="fr-CH"/>
        </w:rPr>
        <w:t>p</w:t>
      </w:r>
      <w:r w:rsidR="00524CA6">
        <w:rPr>
          <w:sz w:val="22"/>
          <w:szCs w:val="22"/>
          <w:lang w:val="fr-CH"/>
        </w:rPr>
        <w:t xml:space="preserve">ar leurs avocats. </w:t>
      </w:r>
    </w:p>
    <w:p w14:paraId="39F5CE2F" w14:textId="77777777" w:rsidR="00637C38" w:rsidRDefault="00637C38">
      <w:pPr>
        <w:rPr>
          <w:sz w:val="22"/>
          <w:szCs w:val="22"/>
          <w:lang w:val="fr-CH"/>
        </w:rPr>
      </w:pPr>
    </w:p>
    <w:p w14:paraId="25F3AB68" w14:textId="77777777" w:rsidR="00524CA6" w:rsidRPr="00AD12EB" w:rsidRDefault="00273376" w:rsidP="007121FF">
      <w:pPr>
        <w:jc w:val="both"/>
        <w:rPr>
          <w:sz w:val="22"/>
          <w:szCs w:val="22"/>
          <w:lang w:val="fr-CH"/>
        </w:rPr>
      </w:pPr>
      <w:r>
        <w:rPr>
          <w:sz w:val="22"/>
          <w:szCs w:val="22"/>
          <w:lang w:val="fr-CH"/>
        </w:rPr>
        <w:t xml:space="preserve">Des éléments clé </w:t>
      </w:r>
      <w:r w:rsidR="007121FF">
        <w:rPr>
          <w:sz w:val="22"/>
          <w:szCs w:val="22"/>
          <w:lang w:val="fr-CH"/>
        </w:rPr>
        <w:t xml:space="preserve">de ces propositions </w:t>
      </w:r>
      <w:r>
        <w:rPr>
          <w:sz w:val="22"/>
          <w:szCs w:val="22"/>
          <w:lang w:val="fr-CH"/>
        </w:rPr>
        <w:t xml:space="preserve">comprennent </w:t>
      </w:r>
      <w:r w:rsidR="007121FF">
        <w:rPr>
          <w:sz w:val="22"/>
          <w:szCs w:val="22"/>
          <w:lang w:val="fr-CH"/>
        </w:rPr>
        <w:t xml:space="preserve">l’interdiction de l’obligation de stocker les donnes localement ; d’avoir une présence locale dans le pays ; pas de taxes à la frontière sur les produits digitaux ; l’interdiction de réguler les transferts </w:t>
      </w:r>
      <w:r>
        <w:rPr>
          <w:sz w:val="22"/>
          <w:szCs w:val="22"/>
          <w:lang w:val="fr-CH"/>
        </w:rPr>
        <w:t xml:space="preserve">transfrontalier </w:t>
      </w:r>
      <w:r w:rsidR="007121FF">
        <w:rPr>
          <w:sz w:val="22"/>
          <w:szCs w:val="22"/>
          <w:lang w:val="fr-CH"/>
        </w:rPr>
        <w:t xml:space="preserve">de données ; et même l’interdiction d’exiger des logiciel </w:t>
      </w:r>
      <w:r w:rsidR="00B73D6E">
        <w:rPr>
          <w:sz w:val="22"/>
          <w:szCs w:val="22"/>
          <w:lang w:val="fr-CH"/>
        </w:rPr>
        <w:t>libres (</w:t>
      </w:r>
      <w:r w:rsidR="00157561">
        <w:rPr>
          <w:sz w:val="22"/>
          <w:szCs w:val="22"/>
          <w:lang w:val="fr-CH"/>
        </w:rPr>
        <w:t>open source</w:t>
      </w:r>
      <w:r w:rsidR="00B73D6E">
        <w:rPr>
          <w:sz w:val="22"/>
          <w:szCs w:val="22"/>
          <w:lang w:val="fr-CH"/>
        </w:rPr>
        <w:t>)</w:t>
      </w:r>
      <w:r w:rsidR="00157561">
        <w:rPr>
          <w:sz w:val="22"/>
          <w:szCs w:val="22"/>
          <w:lang w:val="fr-CH"/>
        </w:rPr>
        <w:t xml:space="preserve"> dans les contrats sur les</w:t>
      </w:r>
      <w:r w:rsidR="007121FF">
        <w:rPr>
          <w:sz w:val="22"/>
          <w:szCs w:val="22"/>
          <w:lang w:val="fr-CH"/>
        </w:rPr>
        <w:t xml:space="preserve"> marchés publics. Il n’y a pas de </w:t>
      </w:r>
      <w:r w:rsidR="00B73D6E">
        <w:rPr>
          <w:sz w:val="22"/>
          <w:szCs w:val="22"/>
          <w:lang w:val="fr-CH"/>
        </w:rPr>
        <w:t xml:space="preserve">raison </w:t>
      </w:r>
      <w:r w:rsidR="007121FF">
        <w:rPr>
          <w:sz w:val="22"/>
          <w:szCs w:val="22"/>
          <w:lang w:val="fr-CH"/>
        </w:rPr>
        <w:t xml:space="preserve">économique </w:t>
      </w:r>
      <w:r w:rsidR="00AD7DB6">
        <w:rPr>
          <w:sz w:val="22"/>
          <w:szCs w:val="22"/>
          <w:lang w:val="fr-CH"/>
        </w:rPr>
        <w:t xml:space="preserve">pour </w:t>
      </w:r>
      <w:r w:rsidR="00B73D6E">
        <w:rPr>
          <w:sz w:val="22"/>
          <w:szCs w:val="22"/>
          <w:lang w:val="fr-CH"/>
        </w:rPr>
        <w:t xml:space="preserve">que </w:t>
      </w:r>
      <w:r w:rsidR="007121FF">
        <w:rPr>
          <w:sz w:val="22"/>
          <w:szCs w:val="22"/>
          <w:lang w:val="fr-CH"/>
        </w:rPr>
        <w:t xml:space="preserve">les produits échangés électroniquement ne </w:t>
      </w:r>
      <w:r w:rsidR="00B73D6E">
        <w:rPr>
          <w:sz w:val="22"/>
          <w:szCs w:val="22"/>
          <w:lang w:val="fr-CH"/>
        </w:rPr>
        <w:t>contribuent p</w:t>
      </w:r>
      <w:r w:rsidR="00AD7DB6">
        <w:rPr>
          <w:sz w:val="22"/>
          <w:szCs w:val="22"/>
          <w:lang w:val="fr-CH"/>
        </w:rPr>
        <w:t xml:space="preserve">as à l’assiette </w:t>
      </w:r>
      <w:r w:rsidR="007121FF">
        <w:rPr>
          <w:sz w:val="22"/>
          <w:szCs w:val="22"/>
          <w:lang w:val="fr-CH"/>
        </w:rPr>
        <w:t xml:space="preserve">fiscale nationale, alors que les biens échangés de façon traditionnelle le font. </w:t>
      </w:r>
      <w:r w:rsidR="00B73D6E">
        <w:rPr>
          <w:sz w:val="22"/>
          <w:szCs w:val="22"/>
          <w:lang w:val="fr-CH"/>
        </w:rPr>
        <w:t>De nos jours, l</w:t>
      </w:r>
      <w:r w:rsidR="007121FF">
        <w:rPr>
          <w:sz w:val="22"/>
          <w:szCs w:val="22"/>
          <w:lang w:val="fr-CH"/>
        </w:rPr>
        <w:t xml:space="preserve">es données </w:t>
      </w:r>
      <w:r w:rsidR="00B73D6E">
        <w:rPr>
          <w:sz w:val="22"/>
          <w:szCs w:val="22"/>
          <w:lang w:val="fr-CH"/>
        </w:rPr>
        <w:t xml:space="preserve">sont </w:t>
      </w:r>
      <w:r w:rsidR="007121FF">
        <w:rPr>
          <w:sz w:val="22"/>
          <w:szCs w:val="22"/>
          <w:lang w:val="fr-CH"/>
        </w:rPr>
        <w:t xml:space="preserve">la ressource la plus importante. De plus, la protection de la sphère privée et des données </w:t>
      </w:r>
      <w:r w:rsidR="00B73D6E">
        <w:rPr>
          <w:sz w:val="22"/>
          <w:szCs w:val="22"/>
          <w:lang w:val="fr-CH"/>
        </w:rPr>
        <w:t>est un droit humain</w:t>
      </w:r>
      <w:r w:rsidR="007121FF">
        <w:rPr>
          <w:sz w:val="22"/>
          <w:szCs w:val="22"/>
          <w:lang w:val="fr-CH"/>
        </w:rPr>
        <w:t xml:space="preserve"> fondamenta</w:t>
      </w:r>
      <w:r w:rsidR="00B73D6E">
        <w:rPr>
          <w:sz w:val="22"/>
          <w:szCs w:val="22"/>
          <w:lang w:val="fr-CH"/>
        </w:rPr>
        <w:t>l</w:t>
      </w:r>
      <w:r w:rsidR="007121FF">
        <w:rPr>
          <w:sz w:val="22"/>
          <w:szCs w:val="22"/>
          <w:lang w:val="fr-CH"/>
        </w:rPr>
        <w:t xml:space="preserve"> </w:t>
      </w:r>
      <w:r w:rsidR="00B73D6E">
        <w:rPr>
          <w:sz w:val="22"/>
          <w:szCs w:val="22"/>
          <w:lang w:val="fr-CH"/>
        </w:rPr>
        <w:t>qui ne peut pas être sacrifié sur l’autel du commerce</w:t>
      </w:r>
      <w:r w:rsidR="007121FF">
        <w:rPr>
          <w:sz w:val="22"/>
          <w:szCs w:val="22"/>
          <w:lang w:val="fr-CH"/>
        </w:rPr>
        <w:t xml:space="preserve">. </w:t>
      </w:r>
      <w:r w:rsidR="00AF1C12">
        <w:rPr>
          <w:sz w:val="22"/>
          <w:szCs w:val="22"/>
          <w:lang w:val="fr-CH"/>
        </w:rPr>
        <w:t xml:space="preserve">Verrouiller des règles à l’OMC </w:t>
      </w:r>
      <w:r w:rsidR="00236622">
        <w:rPr>
          <w:sz w:val="22"/>
          <w:szCs w:val="22"/>
          <w:lang w:val="fr-CH"/>
        </w:rPr>
        <w:t xml:space="preserve">qui permettent </w:t>
      </w:r>
      <w:r w:rsidR="00AF1C12">
        <w:rPr>
          <w:sz w:val="22"/>
          <w:szCs w:val="22"/>
          <w:lang w:val="fr-CH"/>
        </w:rPr>
        <w:t xml:space="preserve">aux multinationales de transférer les données dans le monde entier </w:t>
      </w:r>
      <w:r w:rsidR="008C0A83">
        <w:rPr>
          <w:sz w:val="22"/>
          <w:szCs w:val="22"/>
          <w:lang w:val="fr-CH"/>
        </w:rPr>
        <w:t xml:space="preserve">sans restrictions nierait une fois pour toutes le droit des pays et des citoyens de bénéficier </w:t>
      </w:r>
      <w:r w:rsidR="00236622">
        <w:rPr>
          <w:sz w:val="22"/>
          <w:szCs w:val="22"/>
          <w:lang w:val="fr-CH"/>
        </w:rPr>
        <w:t xml:space="preserve">à l’avenir </w:t>
      </w:r>
      <w:r w:rsidR="008C0A83">
        <w:rPr>
          <w:sz w:val="22"/>
          <w:szCs w:val="22"/>
          <w:lang w:val="fr-CH"/>
        </w:rPr>
        <w:t>de leurs données et des services de renseignement</w:t>
      </w:r>
      <w:r w:rsidR="00AD7DB6">
        <w:rPr>
          <w:sz w:val="22"/>
          <w:szCs w:val="22"/>
          <w:lang w:val="fr-CH"/>
        </w:rPr>
        <w:t xml:space="preserve">. Il limiterait aussi </w:t>
      </w:r>
      <w:r w:rsidR="008C0A83">
        <w:rPr>
          <w:sz w:val="22"/>
          <w:szCs w:val="22"/>
          <w:lang w:val="fr-CH"/>
        </w:rPr>
        <w:t xml:space="preserve">la capacité des pays </w:t>
      </w:r>
      <w:r w:rsidR="00AD7DB6">
        <w:rPr>
          <w:sz w:val="22"/>
          <w:szCs w:val="22"/>
          <w:lang w:val="fr-CH"/>
        </w:rPr>
        <w:t xml:space="preserve">à </w:t>
      </w:r>
      <w:r w:rsidR="008C0A83">
        <w:rPr>
          <w:sz w:val="22"/>
          <w:szCs w:val="22"/>
          <w:lang w:val="fr-CH"/>
        </w:rPr>
        <w:t>mettre en œuvre des mesures appropriée</w:t>
      </w:r>
      <w:r w:rsidR="00475FB3">
        <w:rPr>
          <w:sz w:val="22"/>
          <w:szCs w:val="22"/>
          <w:lang w:val="fr-CH"/>
        </w:rPr>
        <w:t>s</w:t>
      </w:r>
      <w:r w:rsidR="008C0A83">
        <w:rPr>
          <w:sz w:val="22"/>
          <w:szCs w:val="22"/>
          <w:lang w:val="fr-CH"/>
        </w:rPr>
        <w:t xml:space="preserve"> de protection des données et des consommateurs. Ce que les instigateurs des propositions sur le commerce électronique appellent « barrières de localisation » sont en réalité les outils que les pays utilisent pour s’assurer </w:t>
      </w:r>
      <w:r w:rsidR="00236622">
        <w:rPr>
          <w:sz w:val="22"/>
          <w:szCs w:val="22"/>
          <w:lang w:val="fr-CH"/>
        </w:rPr>
        <w:t xml:space="preserve">qu’ils tirent profit de </w:t>
      </w:r>
      <w:r w:rsidR="008C0A83">
        <w:rPr>
          <w:sz w:val="22"/>
          <w:szCs w:val="22"/>
          <w:lang w:val="fr-CH"/>
        </w:rPr>
        <w:t>la présence de</w:t>
      </w:r>
      <w:r w:rsidR="00AD7DB6">
        <w:rPr>
          <w:sz w:val="22"/>
          <w:szCs w:val="22"/>
          <w:lang w:val="fr-CH"/>
        </w:rPr>
        <w:t>s</w:t>
      </w:r>
      <w:r w:rsidR="008C0A83">
        <w:rPr>
          <w:sz w:val="22"/>
          <w:szCs w:val="22"/>
          <w:lang w:val="fr-CH"/>
        </w:rPr>
        <w:t xml:space="preserve"> </w:t>
      </w:r>
      <w:r w:rsidR="008C0A83">
        <w:rPr>
          <w:sz w:val="22"/>
          <w:szCs w:val="22"/>
          <w:lang w:val="fr-CH"/>
        </w:rPr>
        <w:lastRenderedPageBreak/>
        <w:t>multinationales pour promouvoir leur développement et les droits économique</w:t>
      </w:r>
      <w:r w:rsidR="00AD7DB6">
        <w:rPr>
          <w:sz w:val="22"/>
          <w:szCs w:val="22"/>
          <w:lang w:val="fr-CH"/>
        </w:rPr>
        <w:t>s</w:t>
      </w:r>
      <w:r w:rsidR="008C0A83">
        <w:rPr>
          <w:sz w:val="22"/>
          <w:szCs w:val="22"/>
          <w:lang w:val="fr-CH"/>
        </w:rPr>
        <w:t xml:space="preserve">, sociaux et politiques de leurs citoyens. </w:t>
      </w:r>
    </w:p>
    <w:p w14:paraId="10038675" w14:textId="77777777" w:rsidR="00F8129F" w:rsidRPr="007121FF" w:rsidRDefault="00F8129F" w:rsidP="00F8129F">
      <w:pPr>
        <w:pStyle w:val="Normal1"/>
        <w:spacing w:line="240" w:lineRule="auto"/>
        <w:rPr>
          <w:rFonts w:asciiTheme="minorHAnsi" w:eastAsia="Times New Roman" w:hAnsiTheme="minorHAnsi" w:cs="Times New Roman"/>
          <w:lang w:val="fr-CH"/>
        </w:rPr>
      </w:pPr>
    </w:p>
    <w:p w14:paraId="7249E987" w14:textId="77777777" w:rsidR="00F8129F" w:rsidRDefault="00B5192A" w:rsidP="001151A8">
      <w:pPr>
        <w:pStyle w:val="Normal1"/>
        <w:spacing w:line="240" w:lineRule="auto"/>
        <w:jc w:val="both"/>
        <w:rPr>
          <w:rFonts w:asciiTheme="minorHAnsi" w:eastAsia="Times New Roman" w:hAnsiTheme="minorHAnsi" w:cs="Times New Roman"/>
          <w:lang w:val="fr-CH"/>
        </w:rPr>
      </w:pPr>
      <w:r>
        <w:rPr>
          <w:rFonts w:asciiTheme="minorHAnsi" w:eastAsia="Times New Roman" w:hAnsiTheme="minorHAnsi" w:cs="Times New Roman"/>
          <w:lang w:val="fr-CH"/>
        </w:rPr>
        <w:t xml:space="preserve">Il faut des </w:t>
      </w:r>
      <w:r w:rsidR="001151A8" w:rsidRPr="001151A8">
        <w:rPr>
          <w:rFonts w:asciiTheme="minorHAnsi" w:eastAsia="Times New Roman" w:hAnsiTheme="minorHAnsi" w:cs="Times New Roman"/>
          <w:lang w:val="fr-CH"/>
        </w:rPr>
        <w:t>r</w:t>
      </w:r>
      <w:r w:rsidR="001151A8">
        <w:rPr>
          <w:rFonts w:asciiTheme="minorHAnsi" w:eastAsia="Times New Roman" w:hAnsiTheme="minorHAnsi" w:cs="Times New Roman"/>
          <w:lang w:val="fr-CH"/>
        </w:rPr>
        <w:t>ègles commerciales qui permettent de créer des emplois décents, y co</w:t>
      </w:r>
      <w:r>
        <w:rPr>
          <w:rFonts w:asciiTheme="minorHAnsi" w:eastAsia="Times New Roman" w:hAnsiTheme="minorHAnsi" w:cs="Times New Roman"/>
          <w:lang w:val="fr-CH"/>
        </w:rPr>
        <w:t>m</w:t>
      </w:r>
      <w:r w:rsidR="001151A8">
        <w:rPr>
          <w:rFonts w:asciiTheme="minorHAnsi" w:eastAsia="Times New Roman" w:hAnsiTheme="minorHAnsi" w:cs="Times New Roman"/>
          <w:lang w:val="fr-CH"/>
        </w:rPr>
        <w:t xml:space="preserve">pris dans le secteur technologique. Mais la marque de fabrique d’entreprises comme Amazon, Facebook, Google et Uber </w:t>
      </w:r>
      <w:r>
        <w:rPr>
          <w:rFonts w:asciiTheme="minorHAnsi" w:eastAsia="Times New Roman" w:hAnsiTheme="minorHAnsi" w:cs="Times New Roman"/>
          <w:lang w:val="fr-CH"/>
        </w:rPr>
        <w:t xml:space="preserve">c’est précisément </w:t>
      </w:r>
      <w:r w:rsidR="001151A8">
        <w:rPr>
          <w:rFonts w:asciiTheme="minorHAnsi" w:eastAsia="Times New Roman" w:hAnsiTheme="minorHAnsi" w:cs="Times New Roman"/>
          <w:lang w:val="fr-CH"/>
        </w:rPr>
        <w:t xml:space="preserve">la </w:t>
      </w:r>
      <w:r w:rsidR="0097374E">
        <w:rPr>
          <w:rFonts w:asciiTheme="minorHAnsi" w:eastAsia="Times New Roman" w:hAnsiTheme="minorHAnsi" w:cs="Times New Roman"/>
          <w:lang w:val="fr-CH"/>
        </w:rPr>
        <w:t xml:space="preserve">destruction </w:t>
      </w:r>
      <w:r w:rsidR="001151A8">
        <w:rPr>
          <w:rFonts w:asciiTheme="minorHAnsi" w:eastAsia="Times New Roman" w:hAnsiTheme="minorHAnsi" w:cs="Times New Roman"/>
          <w:lang w:val="fr-CH"/>
        </w:rPr>
        <w:t>des entreprises locales et d</w:t>
      </w:r>
      <w:r w:rsidR="0097374E">
        <w:rPr>
          <w:rFonts w:asciiTheme="minorHAnsi" w:eastAsia="Times New Roman" w:hAnsiTheme="minorHAnsi" w:cs="Times New Roman"/>
          <w:lang w:val="fr-CH"/>
        </w:rPr>
        <w:t>u marché de l’emploi</w:t>
      </w:r>
      <w:r w:rsidR="001151A8">
        <w:rPr>
          <w:rFonts w:asciiTheme="minorHAnsi" w:eastAsia="Times New Roman" w:hAnsiTheme="minorHAnsi" w:cs="Times New Roman"/>
          <w:lang w:val="fr-CH"/>
        </w:rPr>
        <w:t xml:space="preserve"> et une précarisation croissante du travail. Ce</w:t>
      </w:r>
      <w:r w:rsidR="00743FC2">
        <w:rPr>
          <w:rFonts w:asciiTheme="minorHAnsi" w:eastAsia="Times New Roman" w:hAnsiTheme="minorHAnsi" w:cs="Times New Roman"/>
          <w:lang w:val="fr-CH"/>
        </w:rPr>
        <w:t xml:space="preserve">s phénomènes seraient amplifiés encore </w:t>
      </w:r>
      <w:r w:rsidR="001151A8">
        <w:rPr>
          <w:rFonts w:asciiTheme="minorHAnsi" w:eastAsia="Times New Roman" w:hAnsiTheme="minorHAnsi" w:cs="Times New Roman"/>
          <w:lang w:val="fr-CH"/>
        </w:rPr>
        <w:t xml:space="preserve">si les propositions sur le commerce électronique étaient acceptées à l’OMC. Les </w:t>
      </w:r>
      <w:r w:rsidR="0097374E">
        <w:rPr>
          <w:rFonts w:asciiTheme="minorHAnsi" w:eastAsia="Times New Roman" w:hAnsiTheme="minorHAnsi" w:cs="Times New Roman"/>
          <w:lang w:val="fr-CH"/>
        </w:rPr>
        <w:t xml:space="preserve">géants technologiques </w:t>
      </w:r>
      <w:r w:rsidR="001151A8">
        <w:rPr>
          <w:rFonts w:asciiTheme="minorHAnsi" w:eastAsia="Times New Roman" w:hAnsiTheme="minorHAnsi" w:cs="Times New Roman"/>
          <w:lang w:val="fr-CH"/>
        </w:rPr>
        <w:t xml:space="preserve">pourraient consolider encore </w:t>
      </w:r>
      <w:r w:rsidR="00AF066F">
        <w:rPr>
          <w:rFonts w:asciiTheme="minorHAnsi" w:eastAsia="Times New Roman" w:hAnsiTheme="minorHAnsi" w:cs="Times New Roman"/>
          <w:lang w:val="fr-CH"/>
        </w:rPr>
        <w:t xml:space="preserve">davantage </w:t>
      </w:r>
      <w:r w:rsidR="001151A8">
        <w:rPr>
          <w:rFonts w:asciiTheme="minorHAnsi" w:eastAsia="Times New Roman" w:hAnsiTheme="minorHAnsi" w:cs="Times New Roman"/>
          <w:lang w:val="fr-CH"/>
        </w:rPr>
        <w:t xml:space="preserve">leur pouvoir monopolistique. </w:t>
      </w:r>
      <w:r w:rsidR="004A35FF">
        <w:rPr>
          <w:rFonts w:asciiTheme="minorHAnsi" w:eastAsia="Times New Roman" w:hAnsiTheme="minorHAnsi" w:cs="Times New Roman"/>
          <w:lang w:val="fr-CH"/>
        </w:rPr>
        <w:t xml:space="preserve">Leur fameuse optimisation fiscale (qui équivaut à l’évasion), y compris l’érosion de la base </w:t>
      </w:r>
      <w:r w:rsidR="00BE2A79">
        <w:rPr>
          <w:rFonts w:asciiTheme="minorHAnsi" w:eastAsia="Times New Roman" w:hAnsiTheme="minorHAnsi" w:cs="Times New Roman"/>
          <w:lang w:val="fr-CH"/>
        </w:rPr>
        <w:t xml:space="preserve">d’imposition et le transfert de bénéfices, serait facilitée par un traité international contraignant et il </w:t>
      </w:r>
      <w:r w:rsidR="00AF066F">
        <w:rPr>
          <w:rFonts w:asciiTheme="minorHAnsi" w:eastAsia="Times New Roman" w:hAnsiTheme="minorHAnsi" w:cs="Times New Roman"/>
          <w:lang w:val="fr-CH"/>
        </w:rPr>
        <w:t xml:space="preserve">deviendrait </w:t>
      </w:r>
      <w:r w:rsidR="00BE2A79">
        <w:rPr>
          <w:rFonts w:asciiTheme="minorHAnsi" w:eastAsia="Times New Roman" w:hAnsiTheme="minorHAnsi" w:cs="Times New Roman"/>
          <w:lang w:val="fr-CH"/>
        </w:rPr>
        <w:t xml:space="preserve">presque impossible de mettre de l’ordre dans l’instabilité politique </w:t>
      </w:r>
      <w:r w:rsidR="0097374E">
        <w:rPr>
          <w:rFonts w:asciiTheme="minorHAnsi" w:eastAsia="Times New Roman" w:hAnsiTheme="minorHAnsi" w:cs="Times New Roman"/>
          <w:lang w:val="fr-CH"/>
        </w:rPr>
        <w:t xml:space="preserve">créée </w:t>
      </w:r>
      <w:r w:rsidR="00BE2A79">
        <w:rPr>
          <w:rFonts w:asciiTheme="minorHAnsi" w:eastAsia="Times New Roman" w:hAnsiTheme="minorHAnsi" w:cs="Times New Roman"/>
          <w:lang w:val="fr-CH"/>
        </w:rPr>
        <w:t xml:space="preserve">par les conséquences économiques et financières d’un tel scénario. </w:t>
      </w:r>
      <w:r w:rsidR="004A35FF">
        <w:rPr>
          <w:rFonts w:asciiTheme="minorHAnsi" w:eastAsia="Times New Roman" w:hAnsiTheme="minorHAnsi" w:cs="Times New Roman"/>
          <w:lang w:val="fr-CH"/>
        </w:rPr>
        <w:t xml:space="preserve"> </w:t>
      </w:r>
    </w:p>
    <w:p w14:paraId="1890D4A2" w14:textId="77777777" w:rsidR="001151A8" w:rsidRPr="001151A8" w:rsidRDefault="001151A8" w:rsidP="00F8129F">
      <w:pPr>
        <w:pStyle w:val="Normal1"/>
        <w:spacing w:line="240" w:lineRule="auto"/>
        <w:rPr>
          <w:rFonts w:asciiTheme="minorHAnsi" w:eastAsia="Times New Roman" w:hAnsiTheme="minorHAnsi" w:cs="Times New Roman"/>
          <w:lang w:val="fr-CH"/>
        </w:rPr>
      </w:pPr>
    </w:p>
    <w:p w14:paraId="073A169C" w14:textId="77777777" w:rsidR="00F8129F" w:rsidRPr="00C84A16" w:rsidRDefault="00342A54" w:rsidP="00342A54">
      <w:pPr>
        <w:pStyle w:val="Normal1"/>
        <w:spacing w:line="240" w:lineRule="auto"/>
        <w:jc w:val="both"/>
        <w:rPr>
          <w:rFonts w:asciiTheme="minorHAnsi" w:eastAsia="Times New Roman" w:hAnsiTheme="minorHAnsi" w:cs="Times New Roman"/>
          <w:b/>
          <w:lang w:val="fr-CH"/>
        </w:rPr>
      </w:pPr>
      <w:r w:rsidRPr="00342A54">
        <w:rPr>
          <w:rFonts w:asciiTheme="minorHAnsi" w:eastAsia="Times New Roman" w:hAnsiTheme="minorHAnsi" w:cs="Times New Roman"/>
          <w:lang w:val="fr-CH"/>
        </w:rPr>
        <w:t xml:space="preserve">Actuellement les </w:t>
      </w:r>
      <w:r>
        <w:rPr>
          <w:rFonts w:asciiTheme="minorHAnsi" w:eastAsia="Times New Roman" w:hAnsiTheme="minorHAnsi" w:cs="Times New Roman"/>
          <w:lang w:val="fr-CH"/>
        </w:rPr>
        <w:t>membres de l’OMC n’ont pas de mandat pour négocier de nouvelles règles internationales sur le « commerce électronique »</w:t>
      </w:r>
      <w:r w:rsidR="001C4533">
        <w:rPr>
          <w:rFonts w:asciiTheme="minorHAnsi" w:eastAsia="Times New Roman" w:hAnsiTheme="minorHAnsi" w:cs="Times New Roman"/>
          <w:lang w:val="fr-CH"/>
        </w:rPr>
        <w:t xml:space="preserve"> et il ne faudrait pas leur en donner un à Buenos Aires. Toutes les questions proposées </w:t>
      </w:r>
      <w:r w:rsidR="00BA5CD4">
        <w:rPr>
          <w:rFonts w:asciiTheme="minorHAnsi" w:eastAsia="Times New Roman" w:hAnsiTheme="minorHAnsi" w:cs="Times New Roman"/>
          <w:lang w:val="fr-CH"/>
        </w:rPr>
        <w:t xml:space="preserve">dans </w:t>
      </w:r>
      <w:r w:rsidR="001C4533">
        <w:rPr>
          <w:rFonts w:asciiTheme="minorHAnsi" w:eastAsia="Times New Roman" w:hAnsiTheme="minorHAnsi" w:cs="Times New Roman"/>
          <w:lang w:val="fr-CH"/>
        </w:rPr>
        <w:t xml:space="preserve">l’agenda sur le commerce électronique ont soit déjà été discutées et réglées, </w:t>
      </w:r>
      <w:r w:rsidR="0097374E">
        <w:rPr>
          <w:rFonts w:asciiTheme="minorHAnsi" w:eastAsia="Times New Roman" w:hAnsiTheme="minorHAnsi" w:cs="Times New Roman"/>
          <w:lang w:val="fr-CH"/>
        </w:rPr>
        <w:t>soit s</w:t>
      </w:r>
      <w:r w:rsidR="001C4533">
        <w:rPr>
          <w:rFonts w:asciiTheme="minorHAnsi" w:eastAsia="Times New Roman" w:hAnsiTheme="minorHAnsi" w:cs="Times New Roman"/>
          <w:lang w:val="fr-CH"/>
        </w:rPr>
        <w:t>ont actuellement discutées dans d’autres enceintes, pour la plupart plus réacti</w:t>
      </w:r>
      <w:r w:rsidR="0097374E">
        <w:rPr>
          <w:rFonts w:asciiTheme="minorHAnsi" w:eastAsia="Times New Roman" w:hAnsiTheme="minorHAnsi" w:cs="Times New Roman"/>
          <w:lang w:val="fr-CH"/>
        </w:rPr>
        <w:t>ves</w:t>
      </w:r>
      <w:r w:rsidR="001C4533">
        <w:rPr>
          <w:rFonts w:asciiTheme="minorHAnsi" w:eastAsia="Times New Roman" w:hAnsiTheme="minorHAnsi" w:cs="Times New Roman"/>
          <w:lang w:val="fr-CH"/>
        </w:rPr>
        <w:t xml:space="preserve"> et redevables </w:t>
      </w:r>
      <w:r w:rsidR="0097374E">
        <w:rPr>
          <w:rFonts w:asciiTheme="minorHAnsi" w:eastAsia="Times New Roman" w:hAnsiTheme="minorHAnsi" w:cs="Times New Roman"/>
          <w:lang w:val="fr-CH"/>
        </w:rPr>
        <w:t>à l’intérêt public q</w:t>
      </w:r>
      <w:r w:rsidR="001C4533">
        <w:rPr>
          <w:rFonts w:asciiTheme="minorHAnsi" w:eastAsia="Times New Roman" w:hAnsiTheme="minorHAnsi" w:cs="Times New Roman"/>
          <w:lang w:val="fr-CH"/>
        </w:rPr>
        <w:t xml:space="preserve">ue l’OMC. Le commerce électronique est déjà florissant et les PME peuvent déjà vendre leurs produits en ligne sans de nouvelles règles de l’OMC. </w:t>
      </w:r>
      <w:r w:rsidR="001C4533" w:rsidRPr="00C9330C">
        <w:rPr>
          <w:rFonts w:asciiTheme="minorHAnsi" w:eastAsia="Times New Roman" w:hAnsiTheme="minorHAnsi" w:cs="Times New Roman"/>
          <w:lang w:val="fr-CH"/>
        </w:rPr>
        <w:t>Certes</w:t>
      </w:r>
      <w:r w:rsidR="00C9330C" w:rsidRPr="00C9330C">
        <w:rPr>
          <w:rFonts w:asciiTheme="minorHAnsi" w:eastAsia="Times New Roman" w:hAnsiTheme="minorHAnsi" w:cs="Times New Roman"/>
          <w:lang w:val="fr-CH"/>
        </w:rPr>
        <w:t xml:space="preserve">  le commerce électronique peut être un facteur de c</w:t>
      </w:r>
      <w:r w:rsidR="00C9330C">
        <w:rPr>
          <w:rFonts w:asciiTheme="minorHAnsi" w:eastAsia="Times New Roman" w:hAnsiTheme="minorHAnsi" w:cs="Times New Roman"/>
          <w:lang w:val="fr-CH"/>
        </w:rPr>
        <w:t xml:space="preserve">réation d’emplois et de développement et il </w:t>
      </w:r>
      <w:r w:rsidR="004F0165">
        <w:rPr>
          <w:rFonts w:asciiTheme="minorHAnsi" w:eastAsia="Times New Roman" w:hAnsiTheme="minorHAnsi" w:cs="Times New Roman"/>
          <w:lang w:val="fr-CH"/>
        </w:rPr>
        <w:t xml:space="preserve">peut </w:t>
      </w:r>
      <w:r w:rsidR="00C9330C">
        <w:rPr>
          <w:rFonts w:asciiTheme="minorHAnsi" w:eastAsia="Times New Roman" w:hAnsiTheme="minorHAnsi" w:cs="Times New Roman"/>
          <w:lang w:val="fr-CH"/>
        </w:rPr>
        <w:t xml:space="preserve">promouvoir l’innovation, augmenter le choix des consommateurs et connecter les producteurs reculés </w:t>
      </w:r>
      <w:r w:rsidR="004F0165">
        <w:rPr>
          <w:rFonts w:asciiTheme="minorHAnsi" w:eastAsia="Times New Roman" w:hAnsiTheme="minorHAnsi" w:cs="Times New Roman"/>
          <w:lang w:val="fr-CH"/>
        </w:rPr>
        <w:t>et</w:t>
      </w:r>
      <w:r w:rsidR="00C9330C">
        <w:rPr>
          <w:rFonts w:asciiTheme="minorHAnsi" w:eastAsia="Times New Roman" w:hAnsiTheme="minorHAnsi" w:cs="Times New Roman"/>
          <w:lang w:val="fr-CH"/>
        </w:rPr>
        <w:t xml:space="preserve"> les consommateurs. Mais soutenir le commerce électronique </w:t>
      </w:r>
      <w:r w:rsidR="004F0165">
        <w:rPr>
          <w:rFonts w:asciiTheme="minorHAnsi" w:eastAsia="Times New Roman" w:hAnsiTheme="minorHAnsi" w:cs="Times New Roman"/>
          <w:lang w:val="fr-CH"/>
        </w:rPr>
        <w:t xml:space="preserve">ce </w:t>
      </w:r>
      <w:r w:rsidR="00C9330C">
        <w:rPr>
          <w:rFonts w:asciiTheme="minorHAnsi" w:eastAsia="Times New Roman" w:hAnsiTheme="minorHAnsi" w:cs="Times New Roman"/>
          <w:lang w:val="fr-CH"/>
        </w:rPr>
        <w:t>n’est pas pareil que d’avoir des règles internationales contraignantes qui profiteraient d’abord aux multinationales high-tech basées aux Etats-Unis, aux dépends de la rég</w:t>
      </w:r>
      <w:r w:rsidR="004F0165">
        <w:rPr>
          <w:rFonts w:asciiTheme="minorHAnsi" w:eastAsia="Times New Roman" w:hAnsiTheme="minorHAnsi" w:cs="Times New Roman"/>
          <w:lang w:val="fr-CH"/>
        </w:rPr>
        <w:t xml:space="preserve">lementation </w:t>
      </w:r>
      <w:r w:rsidR="00C9330C">
        <w:rPr>
          <w:rFonts w:asciiTheme="minorHAnsi" w:eastAsia="Times New Roman" w:hAnsiTheme="minorHAnsi" w:cs="Times New Roman"/>
          <w:lang w:val="fr-CH"/>
        </w:rPr>
        <w:t xml:space="preserve">dans l’intérêt public </w:t>
      </w:r>
      <w:r w:rsidR="00BA5CD4">
        <w:rPr>
          <w:rFonts w:asciiTheme="minorHAnsi" w:eastAsia="Times New Roman" w:hAnsiTheme="minorHAnsi" w:cs="Times New Roman"/>
          <w:lang w:val="fr-CH"/>
        </w:rPr>
        <w:t xml:space="preserve">pour </w:t>
      </w:r>
      <w:r w:rsidR="00C9330C">
        <w:rPr>
          <w:rFonts w:asciiTheme="minorHAnsi" w:eastAsia="Times New Roman" w:hAnsiTheme="minorHAnsi" w:cs="Times New Roman"/>
          <w:lang w:val="fr-CH"/>
        </w:rPr>
        <w:t xml:space="preserve">protéger les consommateurs et promouvoir le développement. Alors que nous soutenons les efforts des pays en développement </w:t>
      </w:r>
      <w:r w:rsidR="00BA5CD4">
        <w:rPr>
          <w:rFonts w:asciiTheme="minorHAnsi" w:eastAsia="Times New Roman" w:hAnsiTheme="minorHAnsi" w:cs="Times New Roman"/>
          <w:lang w:val="fr-CH"/>
        </w:rPr>
        <w:t xml:space="preserve">pour </w:t>
      </w:r>
      <w:r w:rsidR="00C9330C">
        <w:rPr>
          <w:rFonts w:asciiTheme="minorHAnsi" w:eastAsia="Times New Roman" w:hAnsiTheme="minorHAnsi" w:cs="Times New Roman"/>
          <w:lang w:val="fr-CH"/>
        </w:rPr>
        <w:t>s’attaquer au clivage numérique, transférer la technologie et obtenir des financements pour l’infrastructure et les technologies de l’information et la communication (TIC),</w:t>
      </w:r>
      <w:r w:rsidR="004F0165">
        <w:rPr>
          <w:rFonts w:asciiTheme="minorHAnsi" w:eastAsia="Times New Roman" w:hAnsiTheme="minorHAnsi" w:cs="Times New Roman"/>
          <w:lang w:val="fr-CH"/>
        </w:rPr>
        <w:t xml:space="preserve"> nous pensons que</w:t>
      </w:r>
      <w:r w:rsidR="00C9330C">
        <w:rPr>
          <w:rFonts w:asciiTheme="minorHAnsi" w:eastAsia="Times New Roman" w:hAnsiTheme="minorHAnsi" w:cs="Times New Roman"/>
          <w:lang w:val="fr-CH"/>
        </w:rPr>
        <w:t xml:space="preserve"> l’OMC n’est pas l’enceinte appropriée pour négocier ces questions.</w:t>
      </w:r>
      <w:r w:rsidR="000167CD">
        <w:rPr>
          <w:rFonts w:asciiTheme="minorHAnsi" w:eastAsia="Times New Roman" w:hAnsiTheme="minorHAnsi" w:cs="Times New Roman"/>
          <w:lang w:val="fr-CH"/>
        </w:rPr>
        <w:t xml:space="preserve"> Tout comme d’autres questions de développement </w:t>
      </w:r>
      <w:r w:rsidR="004F0165">
        <w:rPr>
          <w:rFonts w:asciiTheme="minorHAnsi" w:eastAsia="Times New Roman" w:hAnsiTheme="minorHAnsi" w:cs="Times New Roman"/>
          <w:lang w:val="fr-CH"/>
        </w:rPr>
        <w:t xml:space="preserve">qui </w:t>
      </w:r>
      <w:r w:rsidR="000167CD">
        <w:rPr>
          <w:rFonts w:asciiTheme="minorHAnsi" w:eastAsia="Times New Roman" w:hAnsiTheme="minorHAnsi" w:cs="Times New Roman"/>
          <w:lang w:val="fr-CH"/>
        </w:rPr>
        <w:t xml:space="preserve">ont été traitées à l’OMC, elles ne deviendront pas des obligations contraignantes, alors que l’agenda des multinationales high-tech </w:t>
      </w:r>
      <w:r w:rsidR="00BA5CD4">
        <w:rPr>
          <w:rFonts w:asciiTheme="minorHAnsi" w:eastAsia="Times New Roman" w:hAnsiTheme="minorHAnsi" w:cs="Times New Roman"/>
          <w:lang w:val="fr-CH"/>
        </w:rPr>
        <w:t>le sera</w:t>
      </w:r>
      <w:r w:rsidR="000167CD">
        <w:rPr>
          <w:rFonts w:asciiTheme="minorHAnsi" w:eastAsia="Times New Roman" w:hAnsiTheme="minorHAnsi" w:cs="Times New Roman"/>
          <w:lang w:val="fr-CH"/>
        </w:rPr>
        <w:t xml:space="preserve">. </w:t>
      </w:r>
      <w:r w:rsidR="00C84A16">
        <w:rPr>
          <w:rFonts w:asciiTheme="minorHAnsi" w:eastAsia="Times New Roman" w:hAnsiTheme="minorHAnsi" w:cs="Times New Roman"/>
          <w:b/>
          <w:lang w:val="fr-CH"/>
        </w:rPr>
        <w:t>Il ne devrait absolument pas y avoir de nouveau mandat sur le commerce électronique à la CM11.</w:t>
      </w:r>
    </w:p>
    <w:p w14:paraId="5A820449" w14:textId="77777777" w:rsidR="006B0BF8" w:rsidRPr="00BA5CD4" w:rsidRDefault="006B0BF8" w:rsidP="00F8129F">
      <w:pPr>
        <w:pStyle w:val="Normal1"/>
        <w:spacing w:line="240" w:lineRule="auto"/>
        <w:rPr>
          <w:rFonts w:asciiTheme="minorHAnsi" w:eastAsia="Times New Roman" w:hAnsiTheme="minorHAnsi" w:cs="Times New Roman"/>
          <w:lang w:val="fr-CH"/>
        </w:rPr>
      </w:pPr>
    </w:p>
    <w:p w14:paraId="48EB4567" w14:textId="77777777" w:rsidR="00F8129F" w:rsidRDefault="006B0BF8" w:rsidP="00F8129F">
      <w:pPr>
        <w:pStyle w:val="Normal1"/>
        <w:spacing w:line="240" w:lineRule="auto"/>
        <w:rPr>
          <w:rFonts w:asciiTheme="minorHAnsi" w:eastAsia="Times New Roman" w:hAnsiTheme="minorHAnsi" w:cs="Times New Roman"/>
          <w:b/>
          <w:lang w:val="fr-CH"/>
        </w:rPr>
      </w:pPr>
      <w:r>
        <w:rPr>
          <w:rFonts w:asciiTheme="minorHAnsi" w:eastAsia="Times New Roman" w:hAnsiTheme="minorHAnsi" w:cs="Times New Roman"/>
          <w:b/>
          <w:lang w:val="fr-CH"/>
        </w:rPr>
        <w:t xml:space="preserve">Menaces à la </w:t>
      </w:r>
      <w:r w:rsidRPr="006B0BF8">
        <w:rPr>
          <w:rFonts w:asciiTheme="minorHAnsi" w:eastAsia="Times New Roman" w:hAnsiTheme="minorHAnsi" w:cs="Times New Roman"/>
          <w:b/>
          <w:lang w:val="fr-CH"/>
        </w:rPr>
        <w:t>r</w:t>
      </w:r>
      <w:r w:rsidR="004D2F82">
        <w:rPr>
          <w:rFonts w:asciiTheme="minorHAnsi" w:eastAsia="Times New Roman" w:hAnsiTheme="minorHAnsi" w:cs="Times New Roman"/>
          <w:b/>
          <w:lang w:val="fr-CH"/>
        </w:rPr>
        <w:t xml:space="preserve">églementation </w:t>
      </w:r>
      <w:r w:rsidRPr="006B0BF8">
        <w:rPr>
          <w:rFonts w:asciiTheme="minorHAnsi" w:eastAsia="Times New Roman" w:hAnsiTheme="minorHAnsi" w:cs="Times New Roman"/>
          <w:b/>
          <w:lang w:val="fr-CH"/>
        </w:rPr>
        <w:t xml:space="preserve">dans l’intérêt public </w:t>
      </w:r>
    </w:p>
    <w:p w14:paraId="04D254F1" w14:textId="77777777" w:rsidR="006B0BF8" w:rsidRDefault="006B0BF8" w:rsidP="00F8129F">
      <w:pPr>
        <w:pStyle w:val="Normal1"/>
        <w:spacing w:line="240" w:lineRule="auto"/>
        <w:rPr>
          <w:rFonts w:asciiTheme="minorHAnsi" w:eastAsia="Times New Roman" w:hAnsiTheme="minorHAnsi" w:cs="Times New Roman"/>
          <w:b/>
          <w:lang w:val="fr-CH"/>
        </w:rPr>
      </w:pPr>
    </w:p>
    <w:p w14:paraId="141150D5" w14:textId="77777777" w:rsidR="006B0BF8" w:rsidRPr="004B64B5" w:rsidRDefault="003A02CF" w:rsidP="006B0BF8">
      <w:pPr>
        <w:pStyle w:val="Normal1"/>
        <w:spacing w:line="240" w:lineRule="auto"/>
        <w:jc w:val="both"/>
        <w:rPr>
          <w:rFonts w:asciiTheme="minorHAnsi" w:eastAsia="Times New Roman" w:hAnsiTheme="minorHAnsi" w:cs="Times New Roman"/>
          <w:lang w:val="fr-CH"/>
        </w:rPr>
      </w:pPr>
      <w:r>
        <w:rPr>
          <w:rFonts w:asciiTheme="minorHAnsi" w:eastAsia="Times New Roman" w:hAnsiTheme="minorHAnsi" w:cs="Times New Roman"/>
          <w:lang w:val="fr-CH"/>
        </w:rPr>
        <w:t xml:space="preserve">Les ODD </w:t>
      </w:r>
      <w:r w:rsidR="00744FCB">
        <w:rPr>
          <w:rFonts w:asciiTheme="minorHAnsi" w:eastAsia="Times New Roman" w:hAnsiTheme="minorHAnsi" w:cs="Times New Roman"/>
          <w:lang w:val="fr-CH"/>
        </w:rPr>
        <w:t xml:space="preserve">adoptés </w:t>
      </w:r>
      <w:r w:rsidR="006B0BF8">
        <w:rPr>
          <w:rFonts w:asciiTheme="minorHAnsi" w:eastAsia="Times New Roman" w:hAnsiTheme="minorHAnsi" w:cs="Times New Roman"/>
          <w:lang w:val="fr-CH"/>
        </w:rPr>
        <w:t xml:space="preserve">récemment par tous les membres de l’OMC </w:t>
      </w:r>
      <w:r>
        <w:rPr>
          <w:rFonts w:asciiTheme="minorHAnsi" w:eastAsia="Times New Roman" w:hAnsiTheme="minorHAnsi" w:cs="Times New Roman"/>
          <w:lang w:val="fr-CH"/>
        </w:rPr>
        <w:t>prévoient d’</w:t>
      </w:r>
      <w:r w:rsidR="006B0BF8">
        <w:rPr>
          <w:rFonts w:asciiTheme="minorHAnsi" w:eastAsia="Times New Roman" w:hAnsiTheme="minorHAnsi" w:cs="Times New Roman"/>
          <w:lang w:val="fr-CH"/>
        </w:rPr>
        <w:t>étendre l’accès à et la qualité d</w:t>
      </w:r>
      <w:r>
        <w:rPr>
          <w:rFonts w:asciiTheme="minorHAnsi" w:eastAsia="Times New Roman" w:hAnsiTheme="minorHAnsi" w:cs="Times New Roman"/>
          <w:lang w:val="fr-CH"/>
        </w:rPr>
        <w:t xml:space="preserve">e beaucoup de services publics et d’autres </w:t>
      </w:r>
      <w:r w:rsidR="006B0BF8">
        <w:rPr>
          <w:rFonts w:asciiTheme="minorHAnsi" w:eastAsia="Times New Roman" w:hAnsiTheme="minorHAnsi" w:cs="Times New Roman"/>
          <w:lang w:val="fr-CH"/>
        </w:rPr>
        <w:t xml:space="preserve">services </w:t>
      </w:r>
      <w:r>
        <w:rPr>
          <w:rFonts w:asciiTheme="minorHAnsi" w:eastAsia="Times New Roman" w:hAnsiTheme="minorHAnsi" w:cs="Times New Roman"/>
          <w:lang w:val="fr-CH"/>
        </w:rPr>
        <w:t xml:space="preserve">importants fournis </w:t>
      </w:r>
      <w:r w:rsidR="006B0BF8">
        <w:rPr>
          <w:rFonts w:asciiTheme="minorHAnsi" w:eastAsia="Times New Roman" w:hAnsiTheme="minorHAnsi" w:cs="Times New Roman"/>
          <w:lang w:val="fr-CH"/>
        </w:rPr>
        <w:t>souvent par le secteur privé</w:t>
      </w:r>
      <w:r w:rsidR="00744FCB">
        <w:rPr>
          <w:rFonts w:asciiTheme="minorHAnsi" w:eastAsia="Times New Roman" w:hAnsiTheme="minorHAnsi" w:cs="Times New Roman"/>
          <w:lang w:val="fr-CH"/>
        </w:rPr>
        <w:t>, tels que l</w:t>
      </w:r>
      <w:r w:rsidR="006B0BF8">
        <w:rPr>
          <w:rFonts w:asciiTheme="minorHAnsi" w:eastAsia="Times New Roman" w:hAnsiTheme="minorHAnsi" w:cs="Times New Roman"/>
          <w:lang w:val="fr-CH"/>
        </w:rPr>
        <w:t>es services financiers et les télécommunications. Malheureusement, un peu comme dans l’agenda sur le commerce électronique,</w:t>
      </w:r>
      <w:r>
        <w:rPr>
          <w:rFonts w:asciiTheme="minorHAnsi" w:eastAsia="Times New Roman" w:hAnsiTheme="minorHAnsi" w:cs="Times New Roman"/>
          <w:lang w:val="fr-CH"/>
        </w:rPr>
        <w:t xml:space="preserve"> c’est l’</w:t>
      </w:r>
      <w:r w:rsidR="006B0BF8">
        <w:rPr>
          <w:rFonts w:asciiTheme="minorHAnsi" w:eastAsia="Times New Roman" w:hAnsiTheme="minorHAnsi" w:cs="Times New Roman"/>
          <w:lang w:val="fr-CH"/>
        </w:rPr>
        <w:t xml:space="preserve">agenda des multinationales </w:t>
      </w:r>
      <w:r>
        <w:rPr>
          <w:rFonts w:asciiTheme="minorHAnsi" w:eastAsia="Times New Roman" w:hAnsiTheme="minorHAnsi" w:cs="Times New Roman"/>
          <w:lang w:val="fr-CH"/>
        </w:rPr>
        <w:t xml:space="preserve">qui </w:t>
      </w:r>
      <w:r w:rsidR="006B0BF8">
        <w:rPr>
          <w:rFonts w:asciiTheme="minorHAnsi" w:eastAsia="Times New Roman" w:hAnsiTheme="minorHAnsi" w:cs="Times New Roman"/>
          <w:lang w:val="fr-CH"/>
        </w:rPr>
        <w:t>est derrière la tentative d’avoir de nouvelles règles qui limite</w:t>
      </w:r>
      <w:r w:rsidR="004D2F82">
        <w:rPr>
          <w:rFonts w:asciiTheme="minorHAnsi" w:eastAsia="Times New Roman" w:hAnsiTheme="minorHAnsi" w:cs="Times New Roman"/>
          <w:lang w:val="fr-CH"/>
        </w:rPr>
        <w:t>nt</w:t>
      </w:r>
      <w:r w:rsidR="006B0BF8">
        <w:rPr>
          <w:rFonts w:asciiTheme="minorHAnsi" w:eastAsia="Times New Roman" w:hAnsiTheme="minorHAnsi" w:cs="Times New Roman"/>
          <w:lang w:val="fr-CH"/>
        </w:rPr>
        <w:t xml:space="preserve"> les rég</w:t>
      </w:r>
      <w:r w:rsidR="004D2F82">
        <w:rPr>
          <w:rFonts w:asciiTheme="minorHAnsi" w:eastAsia="Times New Roman" w:hAnsiTheme="minorHAnsi" w:cs="Times New Roman"/>
          <w:lang w:val="fr-CH"/>
        </w:rPr>
        <w:t xml:space="preserve">lementations </w:t>
      </w:r>
      <w:r w:rsidR="006B0BF8">
        <w:rPr>
          <w:rFonts w:asciiTheme="minorHAnsi" w:eastAsia="Times New Roman" w:hAnsiTheme="minorHAnsi" w:cs="Times New Roman"/>
          <w:lang w:val="fr-CH"/>
        </w:rPr>
        <w:t xml:space="preserve">intérieures </w:t>
      </w:r>
      <w:r>
        <w:rPr>
          <w:rFonts w:asciiTheme="minorHAnsi" w:eastAsia="Times New Roman" w:hAnsiTheme="minorHAnsi" w:cs="Times New Roman"/>
          <w:lang w:val="fr-CH"/>
        </w:rPr>
        <w:t>dans les s</w:t>
      </w:r>
      <w:r w:rsidR="006B0BF8">
        <w:rPr>
          <w:rFonts w:asciiTheme="minorHAnsi" w:eastAsia="Times New Roman" w:hAnsiTheme="minorHAnsi" w:cs="Times New Roman"/>
          <w:lang w:val="fr-CH"/>
        </w:rPr>
        <w:t>ervices</w:t>
      </w:r>
      <w:r w:rsidR="004D2F82">
        <w:rPr>
          <w:rFonts w:asciiTheme="minorHAnsi" w:eastAsia="Times New Roman" w:hAnsiTheme="minorHAnsi" w:cs="Times New Roman"/>
          <w:lang w:val="fr-CH"/>
        </w:rPr>
        <w:t>. Les règles proposées dans les négociations sur les réglementations intérieures dans les services visent à s’assurer que trois types de réglementations</w:t>
      </w:r>
      <w:r w:rsidR="004B64B5">
        <w:rPr>
          <w:rFonts w:asciiTheme="minorHAnsi" w:eastAsia="Times New Roman" w:hAnsiTheme="minorHAnsi" w:cs="Times New Roman"/>
          <w:lang w:val="fr-CH"/>
        </w:rPr>
        <w:t xml:space="preserve"> </w:t>
      </w:r>
      <w:r w:rsidR="004B64B5" w:rsidRPr="004B64B5">
        <w:rPr>
          <w:rFonts w:asciiTheme="minorHAnsi" w:eastAsia="Times New Roman" w:hAnsiTheme="minorHAnsi" w:cs="Times New Roman"/>
          <w:lang w:val="fr-CH"/>
        </w:rPr>
        <w:t xml:space="preserve">- </w:t>
      </w:r>
      <w:r w:rsidR="004B64B5" w:rsidRPr="004B64B5">
        <w:rPr>
          <w:rFonts w:asciiTheme="minorHAnsi" w:hAnsiTheme="minorHAnsi"/>
          <w:shd w:val="clear" w:color="auto" w:fill="FFFFFF"/>
          <w:lang w:val="fr-CH"/>
        </w:rPr>
        <w:t>les prescriptions et procédures en matière de qualifications, les prescriptions et procédures en matière de licences et les normes techniques – remplissent</w:t>
      </w:r>
      <w:r w:rsidR="004B64B5">
        <w:rPr>
          <w:rFonts w:ascii="Museo Sans 300" w:hAnsi="Museo Sans 300"/>
          <w:sz w:val="18"/>
          <w:szCs w:val="18"/>
          <w:shd w:val="clear" w:color="auto" w:fill="FFFFFF"/>
          <w:lang w:val="fr-CH"/>
        </w:rPr>
        <w:t xml:space="preserve"> </w:t>
      </w:r>
      <w:r w:rsidR="004B64B5">
        <w:rPr>
          <w:rFonts w:ascii="Museo Sans 300" w:hAnsi="Museo Sans 300"/>
          <w:shd w:val="clear" w:color="auto" w:fill="FFFFFF"/>
          <w:lang w:val="fr-CH"/>
        </w:rPr>
        <w:t xml:space="preserve">des critères vagues et illimités qui </w:t>
      </w:r>
      <w:r>
        <w:rPr>
          <w:rFonts w:ascii="Museo Sans 300" w:hAnsi="Museo Sans 300"/>
          <w:shd w:val="clear" w:color="auto" w:fill="FFFFFF"/>
          <w:lang w:val="fr-CH"/>
        </w:rPr>
        <w:t xml:space="preserve">réduiraient </w:t>
      </w:r>
      <w:r w:rsidR="00744FCB">
        <w:rPr>
          <w:rFonts w:ascii="Museo Sans 300" w:hAnsi="Museo Sans 300"/>
          <w:shd w:val="clear" w:color="auto" w:fill="FFFFFF"/>
          <w:lang w:val="fr-CH"/>
        </w:rPr>
        <w:t xml:space="preserve">drastiquement </w:t>
      </w:r>
      <w:r w:rsidR="004B64B5">
        <w:rPr>
          <w:rFonts w:ascii="Museo Sans 300" w:hAnsi="Museo Sans 300"/>
          <w:shd w:val="clear" w:color="auto" w:fill="FFFFFF"/>
          <w:lang w:val="fr-CH"/>
        </w:rPr>
        <w:t xml:space="preserve">la souveraineté des pays en matière de réglementation. </w:t>
      </w:r>
    </w:p>
    <w:p w14:paraId="7756C674" w14:textId="77777777" w:rsidR="00F8129F" w:rsidRPr="006B0BF8" w:rsidRDefault="00F8129F" w:rsidP="00F8129F">
      <w:pPr>
        <w:pStyle w:val="Normal1"/>
        <w:spacing w:line="240" w:lineRule="auto"/>
        <w:rPr>
          <w:rFonts w:ascii="Times New Roman" w:eastAsia="Times New Roman" w:hAnsi="Times New Roman" w:cs="Times New Roman"/>
          <w:sz w:val="24"/>
          <w:szCs w:val="24"/>
          <w:lang w:val="fr-CH"/>
        </w:rPr>
      </w:pPr>
    </w:p>
    <w:p w14:paraId="5708507E" w14:textId="77777777" w:rsidR="00F8129F" w:rsidRPr="00DA1FEB" w:rsidRDefault="00DA1FEB" w:rsidP="00794B2B">
      <w:pPr>
        <w:pStyle w:val="Normal1"/>
        <w:spacing w:line="240" w:lineRule="auto"/>
        <w:jc w:val="both"/>
        <w:rPr>
          <w:rFonts w:asciiTheme="minorHAnsi" w:eastAsia="Times New Roman" w:hAnsiTheme="minorHAnsi" w:cs="Times New Roman"/>
          <w:lang w:val="fr-CH"/>
        </w:rPr>
      </w:pPr>
      <w:r w:rsidRPr="00DA1FEB">
        <w:rPr>
          <w:rFonts w:asciiTheme="minorHAnsi" w:eastAsia="Times New Roman" w:hAnsiTheme="minorHAnsi" w:cs="Times New Roman"/>
          <w:lang w:val="fr-CH"/>
        </w:rPr>
        <w:t>Ce sont des termes o</w:t>
      </w:r>
      <w:r>
        <w:rPr>
          <w:rFonts w:asciiTheme="minorHAnsi" w:eastAsia="Times New Roman" w:hAnsiTheme="minorHAnsi" w:cs="Times New Roman"/>
          <w:lang w:val="fr-CH"/>
        </w:rPr>
        <w:t xml:space="preserve">uverts désignés pour garder la réglementation au minimum et maximiser le pouvoir de lobbying des multinationales sur les gouvernements souverains. </w:t>
      </w:r>
      <w:r w:rsidR="00794B2B">
        <w:rPr>
          <w:rFonts w:asciiTheme="minorHAnsi" w:eastAsia="Times New Roman" w:hAnsiTheme="minorHAnsi" w:cs="Times New Roman"/>
          <w:lang w:val="fr-CH"/>
        </w:rPr>
        <w:t xml:space="preserve">Donner à l’OMC la compétence de juger si une réglementation </w:t>
      </w:r>
      <w:r w:rsidR="003A02CF">
        <w:rPr>
          <w:rFonts w:asciiTheme="minorHAnsi" w:eastAsia="Times New Roman" w:hAnsiTheme="minorHAnsi" w:cs="Times New Roman"/>
          <w:lang w:val="fr-CH"/>
        </w:rPr>
        <w:t>est</w:t>
      </w:r>
      <w:r w:rsidR="00794B2B">
        <w:rPr>
          <w:rFonts w:asciiTheme="minorHAnsi" w:eastAsia="Times New Roman" w:hAnsiTheme="minorHAnsi" w:cs="Times New Roman"/>
          <w:lang w:val="fr-CH"/>
        </w:rPr>
        <w:t xml:space="preserve"> « raisonnable », « objective », « transparente » et « pas plus restrictive que nécessaire pour assurer la </w:t>
      </w:r>
      <w:r w:rsidR="003A02CF">
        <w:rPr>
          <w:rFonts w:asciiTheme="minorHAnsi" w:eastAsia="Times New Roman" w:hAnsiTheme="minorHAnsi" w:cs="Times New Roman"/>
          <w:lang w:val="fr-CH"/>
        </w:rPr>
        <w:t xml:space="preserve">qualité du service » et </w:t>
      </w:r>
      <w:r w:rsidR="00794B2B">
        <w:rPr>
          <w:rFonts w:asciiTheme="minorHAnsi" w:eastAsia="Times New Roman" w:hAnsiTheme="minorHAnsi" w:cs="Times New Roman"/>
          <w:lang w:val="fr-CH"/>
        </w:rPr>
        <w:t>qu’un standard technique a été développé « par un processus ouvert et transparent »</w:t>
      </w:r>
      <w:r w:rsidR="008F4E8B">
        <w:rPr>
          <w:rFonts w:asciiTheme="minorHAnsi" w:eastAsia="Times New Roman" w:hAnsiTheme="minorHAnsi" w:cs="Times New Roman"/>
          <w:lang w:val="fr-CH"/>
        </w:rPr>
        <w:t xml:space="preserve"> mettrait les intérêts des fournisseurs étrangers de services au-dessus des obligations des gouvernements de s’assurer que les services so</w:t>
      </w:r>
      <w:r w:rsidR="003A02CF">
        <w:rPr>
          <w:rFonts w:asciiTheme="minorHAnsi" w:eastAsia="Times New Roman" w:hAnsiTheme="minorHAnsi" w:cs="Times New Roman"/>
          <w:lang w:val="fr-CH"/>
        </w:rPr>
        <w:t>ie</w:t>
      </w:r>
      <w:r w:rsidR="008F4E8B">
        <w:rPr>
          <w:rFonts w:asciiTheme="minorHAnsi" w:eastAsia="Times New Roman" w:hAnsiTheme="minorHAnsi" w:cs="Times New Roman"/>
          <w:lang w:val="fr-CH"/>
        </w:rPr>
        <w:t>nt</w:t>
      </w:r>
      <w:r w:rsidR="003A02CF">
        <w:rPr>
          <w:rFonts w:asciiTheme="minorHAnsi" w:eastAsia="Times New Roman" w:hAnsiTheme="minorHAnsi" w:cs="Times New Roman"/>
          <w:lang w:val="fr-CH"/>
        </w:rPr>
        <w:t xml:space="preserve"> fournis</w:t>
      </w:r>
      <w:r w:rsidR="008F4E8B">
        <w:rPr>
          <w:rFonts w:asciiTheme="minorHAnsi" w:eastAsia="Times New Roman" w:hAnsiTheme="minorHAnsi" w:cs="Times New Roman"/>
          <w:lang w:val="fr-CH"/>
        </w:rPr>
        <w:t xml:space="preserve"> </w:t>
      </w:r>
      <w:r w:rsidR="002F26AF">
        <w:rPr>
          <w:rFonts w:asciiTheme="minorHAnsi" w:eastAsia="Times New Roman" w:hAnsiTheme="minorHAnsi" w:cs="Times New Roman"/>
          <w:lang w:val="fr-CH"/>
        </w:rPr>
        <w:t>dans l’intérêt public. Ce n’est pas à l’OMC de</w:t>
      </w:r>
      <w:r w:rsidR="003A02CF">
        <w:rPr>
          <w:rFonts w:asciiTheme="minorHAnsi" w:eastAsia="Times New Roman" w:hAnsiTheme="minorHAnsi" w:cs="Times New Roman"/>
          <w:lang w:val="fr-CH"/>
        </w:rPr>
        <w:t xml:space="preserve"> décider si les </w:t>
      </w:r>
      <w:r w:rsidR="002F26AF">
        <w:rPr>
          <w:rFonts w:asciiTheme="minorHAnsi" w:eastAsia="Times New Roman" w:hAnsiTheme="minorHAnsi" w:cs="Times New Roman"/>
          <w:lang w:val="fr-CH"/>
        </w:rPr>
        <w:t xml:space="preserve">lois sur l’emploi, les impôts, l’environnement </w:t>
      </w:r>
      <w:r w:rsidR="0043614C">
        <w:rPr>
          <w:rFonts w:asciiTheme="minorHAnsi" w:eastAsia="Times New Roman" w:hAnsiTheme="minorHAnsi" w:cs="Times New Roman"/>
          <w:lang w:val="fr-CH"/>
        </w:rPr>
        <w:t>et</w:t>
      </w:r>
      <w:r w:rsidR="002F26AF">
        <w:rPr>
          <w:rFonts w:asciiTheme="minorHAnsi" w:eastAsia="Times New Roman" w:hAnsiTheme="minorHAnsi" w:cs="Times New Roman"/>
          <w:lang w:val="fr-CH"/>
        </w:rPr>
        <w:t xml:space="preserve"> la sécurité qui s’appliquent aux </w:t>
      </w:r>
      <w:r w:rsidR="005A6CA0">
        <w:rPr>
          <w:rFonts w:asciiTheme="minorHAnsi" w:eastAsia="Times New Roman" w:hAnsiTheme="minorHAnsi" w:cs="Times New Roman"/>
          <w:lang w:val="fr-CH"/>
        </w:rPr>
        <w:t xml:space="preserve">fournisseurs étrangers </w:t>
      </w:r>
      <w:r w:rsidR="002F26AF">
        <w:rPr>
          <w:rFonts w:asciiTheme="minorHAnsi" w:eastAsia="Times New Roman" w:hAnsiTheme="minorHAnsi" w:cs="Times New Roman"/>
          <w:lang w:val="fr-CH"/>
        </w:rPr>
        <w:t>de services sont « raisonnables ».</w:t>
      </w:r>
      <w:r w:rsidR="00807552">
        <w:rPr>
          <w:rFonts w:asciiTheme="minorHAnsi" w:eastAsia="Times New Roman" w:hAnsiTheme="minorHAnsi" w:cs="Times New Roman"/>
          <w:lang w:val="fr-CH"/>
        </w:rPr>
        <w:t xml:space="preserve"> Il ne faudrait pas donner à l’OMC la compétence de décider si l’accord </w:t>
      </w:r>
      <w:r w:rsidR="003A02CF">
        <w:rPr>
          <w:rFonts w:asciiTheme="minorHAnsi" w:eastAsia="Times New Roman" w:hAnsiTheme="minorHAnsi" w:cs="Times New Roman"/>
          <w:lang w:val="fr-CH"/>
        </w:rPr>
        <w:t xml:space="preserve">entre </w:t>
      </w:r>
      <w:r w:rsidR="00807552">
        <w:rPr>
          <w:rFonts w:asciiTheme="minorHAnsi" w:eastAsia="Times New Roman" w:hAnsiTheme="minorHAnsi" w:cs="Times New Roman"/>
          <w:lang w:val="fr-CH"/>
        </w:rPr>
        <w:t xml:space="preserve">une commission de zonage local </w:t>
      </w:r>
      <w:r w:rsidR="003A02CF">
        <w:rPr>
          <w:rFonts w:asciiTheme="minorHAnsi" w:eastAsia="Times New Roman" w:hAnsiTheme="minorHAnsi" w:cs="Times New Roman"/>
          <w:lang w:val="fr-CH"/>
        </w:rPr>
        <w:t>et des opposants locaux quant à l’ouverture d’</w:t>
      </w:r>
      <w:r w:rsidR="00807552">
        <w:rPr>
          <w:rFonts w:asciiTheme="minorHAnsi" w:eastAsia="Times New Roman" w:hAnsiTheme="minorHAnsi" w:cs="Times New Roman"/>
          <w:lang w:val="fr-CH"/>
        </w:rPr>
        <w:t>un grand magasin à côté d’un site historique est « objecti</w:t>
      </w:r>
      <w:r w:rsidR="003A02CF">
        <w:rPr>
          <w:rFonts w:asciiTheme="minorHAnsi" w:eastAsia="Times New Roman" w:hAnsiTheme="minorHAnsi" w:cs="Times New Roman"/>
          <w:lang w:val="fr-CH"/>
        </w:rPr>
        <w:t>f</w:t>
      </w:r>
      <w:r w:rsidR="00807552">
        <w:rPr>
          <w:rFonts w:asciiTheme="minorHAnsi" w:eastAsia="Times New Roman" w:hAnsiTheme="minorHAnsi" w:cs="Times New Roman"/>
          <w:lang w:val="fr-CH"/>
        </w:rPr>
        <w:t xml:space="preserve"> ». Si un Etat décide d’accepter la recommandation d’un audit environnemental d’interdire la fracturation hydraulique </w:t>
      </w:r>
      <w:r w:rsidR="0043614C">
        <w:rPr>
          <w:rFonts w:asciiTheme="minorHAnsi" w:eastAsia="Times New Roman" w:hAnsiTheme="minorHAnsi" w:cs="Times New Roman"/>
          <w:lang w:val="fr-CH"/>
        </w:rPr>
        <w:t xml:space="preserve">pour </w:t>
      </w:r>
      <w:r w:rsidR="00744FCB">
        <w:rPr>
          <w:rFonts w:asciiTheme="minorHAnsi" w:eastAsia="Times New Roman" w:hAnsiTheme="minorHAnsi" w:cs="Times New Roman"/>
          <w:lang w:val="fr-CH"/>
        </w:rPr>
        <w:t xml:space="preserve">l’extraction du </w:t>
      </w:r>
      <w:r w:rsidR="00807552">
        <w:rPr>
          <w:rFonts w:asciiTheme="minorHAnsi" w:eastAsia="Times New Roman" w:hAnsiTheme="minorHAnsi" w:cs="Times New Roman"/>
          <w:lang w:val="fr-CH"/>
        </w:rPr>
        <w:t>gaz, un panel de l’OMC ne devrait pas avoir la compétence de décider que c’est « trop restrictif ». Les gouvernements locaux – et non les panels commerciaux – devraient avoir la compétence ultime de décider de questions communautaires qui sont intrinsèquement subjectives parce qu’elles impliquent d</w:t>
      </w:r>
      <w:r w:rsidR="00750324">
        <w:rPr>
          <w:rFonts w:asciiTheme="minorHAnsi" w:eastAsia="Times New Roman" w:hAnsiTheme="minorHAnsi" w:cs="Times New Roman"/>
          <w:lang w:val="fr-CH"/>
        </w:rPr>
        <w:t xml:space="preserve">es décisions critiques. Et les entreprises étrangères ne devraient pas avoir le « droit » de commenter les mesures  proposées par les autorités locales ou nationales avant qu’elles ne soient décidées à l’interne. </w:t>
      </w:r>
    </w:p>
    <w:p w14:paraId="7504D174" w14:textId="77777777" w:rsidR="004B64B5" w:rsidRPr="00DA1FEB" w:rsidRDefault="004B64B5" w:rsidP="00F8129F">
      <w:pPr>
        <w:pStyle w:val="Normal1"/>
        <w:spacing w:line="240" w:lineRule="auto"/>
        <w:rPr>
          <w:rFonts w:asciiTheme="minorHAnsi" w:eastAsia="Times New Roman" w:hAnsiTheme="minorHAnsi" w:cs="Times New Roman"/>
          <w:lang w:val="fr-CH"/>
        </w:rPr>
      </w:pPr>
    </w:p>
    <w:p w14:paraId="54E44D9E" w14:textId="77777777" w:rsidR="00750324" w:rsidRPr="00750324" w:rsidRDefault="0043614C" w:rsidP="00744FCB">
      <w:pPr>
        <w:pStyle w:val="Normal1"/>
        <w:spacing w:line="240" w:lineRule="auto"/>
        <w:jc w:val="both"/>
        <w:rPr>
          <w:rFonts w:asciiTheme="minorHAnsi" w:eastAsia="Times New Roman" w:hAnsiTheme="minorHAnsi" w:cs="Times New Roman"/>
          <w:b/>
          <w:lang w:val="fr-CH"/>
        </w:rPr>
      </w:pPr>
      <w:r>
        <w:rPr>
          <w:rFonts w:asciiTheme="minorHAnsi" w:eastAsia="Times New Roman" w:hAnsiTheme="minorHAnsi" w:cs="Times New Roman"/>
          <w:lang w:val="fr-CH"/>
        </w:rPr>
        <w:t>Il y a des années, l</w:t>
      </w:r>
      <w:r w:rsidR="00750324" w:rsidRPr="00750324">
        <w:rPr>
          <w:rFonts w:asciiTheme="minorHAnsi" w:eastAsia="Times New Roman" w:hAnsiTheme="minorHAnsi" w:cs="Times New Roman"/>
          <w:lang w:val="fr-CH"/>
        </w:rPr>
        <w:t xml:space="preserve">es membres </w:t>
      </w:r>
      <w:r>
        <w:rPr>
          <w:rFonts w:asciiTheme="minorHAnsi" w:eastAsia="Times New Roman" w:hAnsiTheme="minorHAnsi" w:cs="Times New Roman"/>
          <w:lang w:val="fr-CH"/>
        </w:rPr>
        <w:t xml:space="preserve">ont décidé de </w:t>
      </w:r>
      <w:r w:rsidR="00750324">
        <w:rPr>
          <w:rFonts w:asciiTheme="minorHAnsi" w:eastAsia="Times New Roman" w:hAnsiTheme="minorHAnsi" w:cs="Times New Roman"/>
          <w:lang w:val="fr-CH"/>
        </w:rPr>
        <w:t xml:space="preserve">développer les disciplines nécessaires à ces mesures – mais il n’y a jamais eu d’accord </w:t>
      </w:r>
      <w:r>
        <w:rPr>
          <w:rFonts w:asciiTheme="minorHAnsi" w:eastAsia="Times New Roman" w:hAnsiTheme="minorHAnsi" w:cs="Times New Roman"/>
          <w:lang w:val="fr-CH"/>
        </w:rPr>
        <w:t xml:space="preserve">sur la question de savoir </w:t>
      </w:r>
      <w:r w:rsidR="00750324">
        <w:rPr>
          <w:rFonts w:asciiTheme="minorHAnsi" w:eastAsia="Times New Roman" w:hAnsiTheme="minorHAnsi" w:cs="Times New Roman"/>
          <w:lang w:val="fr-CH"/>
        </w:rPr>
        <w:t xml:space="preserve">si ces règles sont « nécessaires », ce qu’elles ne sont clairement pas. </w:t>
      </w:r>
      <w:r w:rsidR="00750324">
        <w:rPr>
          <w:rFonts w:asciiTheme="minorHAnsi" w:eastAsia="Times New Roman" w:hAnsiTheme="minorHAnsi" w:cs="Times New Roman"/>
          <w:b/>
          <w:lang w:val="fr-CH"/>
        </w:rPr>
        <w:t xml:space="preserve">Donc il ne faudrait pas adopter de disciplines sur les réglementations intérieures à Buenos Aires. </w:t>
      </w:r>
    </w:p>
    <w:p w14:paraId="5582979D" w14:textId="77777777" w:rsidR="00750324" w:rsidRPr="00750324" w:rsidRDefault="00750324" w:rsidP="00F8129F">
      <w:pPr>
        <w:pStyle w:val="Normal1"/>
        <w:spacing w:line="240" w:lineRule="auto"/>
        <w:rPr>
          <w:rFonts w:asciiTheme="minorHAnsi" w:eastAsia="Times New Roman" w:hAnsiTheme="minorHAnsi" w:cs="Times New Roman"/>
          <w:lang w:val="fr-CH"/>
        </w:rPr>
      </w:pPr>
    </w:p>
    <w:p w14:paraId="0DFF4D7C" w14:textId="77777777" w:rsidR="00F8129F" w:rsidRPr="00B502CF" w:rsidRDefault="00B502CF" w:rsidP="00F8129F">
      <w:pPr>
        <w:pStyle w:val="Normal1"/>
        <w:spacing w:line="240" w:lineRule="auto"/>
        <w:rPr>
          <w:rFonts w:asciiTheme="minorHAnsi" w:eastAsia="Times New Roman" w:hAnsiTheme="minorHAnsi" w:cs="Times New Roman"/>
          <w:b/>
          <w:lang w:val="fr-CH"/>
        </w:rPr>
      </w:pPr>
      <w:r w:rsidRPr="00B502CF">
        <w:rPr>
          <w:rFonts w:asciiTheme="minorHAnsi" w:eastAsia="Times New Roman" w:hAnsiTheme="minorHAnsi" w:cs="Times New Roman"/>
          <w:b/>
          <w:lang w:val="fr-CH"/>
        </w:rPr>
        <w:t>Pêche: subventionner les pauvres ou les riches?</w:t>
      </w:r>
    </w:p>
    <w:p w14:paraId="164C53A8" w14:textId="77777777" w:rsidR="00B502CF" w:rsidRPr="00B502CF" w:rsidRDefault="00B502CF" w:rsidP="00B502CF">
      <w:pPr>
        <w:jc w:val="both"/>
        <w:rPr>
          <w:rFonts w:ascii="Calibri" w:eastAsia="Times New Roman" w:hAnsi="Calibri" w:cs="Times New Roman"/>
          <w:b/>
          <w:color w:val="000000"/>
          <w:sz w:val="22"/>
          <w:szCs w:val="22"/>
          <w:shd w:val="clear" w:color="auto" w:fill="FFFFFF"/>
          <w:lang w:val="fr-CH"/>
        </w:rPr>
      </w:pPr>
      <w:r>
        <w:rPr>
          <w:rFonts w:ascii="Calibri" w:eastAsia="Times New Roman" w:hAnsi="Calibri" w:cs="Times New Roman"/>
          <w:color w:val="000000"/>
          <w:sz w:val="22"/>
          <w:szCs w:val="22"/>
          <w:shd w:val="clear" w:color="auto" w:fill="FFFFFF"/>
          <w:lang w:val="fr-CH"/>
        </w:rPr>
        <w:t xml:space="preserve">L’autre grand </w:t>
      </w:r>
      <w:r w:rsidR="005C7841">
        <w:rPr>
          <w:rFonts w:ascii="Calibri" w:eastAsia="Times New Roman" w:hAnsi="Calibri" w:cs="Times New Roman"/>
          <w:color w:val="000000"/>
          <w:sz w:val="22"/>
          <w:szCs w:val="22"/>
          <w:shd w:val="clear" w:color="auto" w:fill="FFFFFF"/>
          <w:lang w:val="fr-CH"/>
        </w:rPr>
        <w:t xml:space="preserve">thème </w:t>
      </w:r>
      <w:r>
        <w:rPr>
          <w:rFonts w:ascii="Calibri" w:eastAsia="Times New Roman" w:hAnsi="Calibri" w:cs="Times New Roman"/>
          <w:color w:val="000000"/>
          <w:sz w:val="22"/>
          <w:szCs w:val="22"/>
          <w:shd w:val="clear" w:color="auto" w:fill="FFFFFF"/>
          <w:lang w:val="fr-CH"/>
        </w:rPr>
        <w:t xml:space="preserve">qui a une chance d’aboutir à Buenos Aires est la façon de s’attaquer au problème de la surpêche en négociant des limites aux subventions que les gouvernements accordent aux pêcheries. Il y a un mandat clair pour un résultat pro-développement et pro-environnement ; mais </w:t>
      </w:r>
      <w:r w:rsidR="005C7841">
        <w:rPr>
          <w:rFonts w:ascii="Calibri" w:eastAsia="Times New Roman" w:hAnsi="Calibri" w:cs="Times New Roman"/>
          <w:color w:val="000000"/>
          <w:sz w:val="22"/>
          <w:szCs w:val="22"/>
          <w:shd w:val="clear" w:color="auto" w:fill="FFFFFF"/>
          <w:lang w:val="fr-CH"/>
        </w:rPr>
        <w:t xml:space="preserve">il ne faudrait pas le rater à </w:t>
      </w:r>
      <w:r>
        <w:rPr>
          <w:rFonts w:ascii="Calibri" w:eastAsia="Times New Roman" w:hAnsi="Calibri" w:cs="Times New Roman"/>
          <w:color w:val="000000"/>
          <w:sz w:val="22"/>
          <w:szCs w:val="22"/>
          <w:shd w:val="clear" w:color="auto" w:fill="FFFFFF"/>
          <w:lang w:val="fr-CH"/>
        </w:rPr>
        <w:t xml:space="preserve">cause de l’insistance de pays industrialisés où la pêche est importante sur des règles qui minent les aspirations de développement des pays </w:t>
      </w:r>
      <w:r w:rsidR="005C7841">
        <w:rPr>
          <w:rFonts w:ascii="Calibri" w:eastAsia="Times New Roman" w:hAnsi="Calibri" w:cs="Times New Roman"/>
          <w:color w:val="000000"/>
          <w:sz w:val="22"/>
          <w:szCs w:val="22"/>
          <w:shd w:val="clear" w:color="auto" w:fill="FFFFFF"/>
          <w:lang w:val="fr-CH"/>
        </w:rPr>
        <w:t>du Sud</w:t>
      </w:r>
      <w:r>
        <w:rPr>
          <w:rFonts w:ascii="Calibri" w:eastAsia="Times New Roman" w:hAnsi="Calibri" w:cs="Times New Roman"/>
          <w:color w:val="000000"/>
          <w:sz w:val="22"/>
          <w:szCs w:val="22"/>
          <w:shd w:val="clear" w:color="auto" w:fill="FFFFFF"/>
          <w:lang w:val="fr-CH"/>
        </w:rPr>
        <w:t>. Malgré l’utilisation de subventions pour créer leur capacité d</w:t>
      </w:r>
      <w:r w:rsidR="005C7841">
        <w:rPr>
          <w:rFonts w:ascii="Calibri" w:eastAsia="Times New Roman" w:hAnsi="Calibri" w:cs="Times New Roman"/>
          <w:color w:val="000000"/>
          <w:sz w:val="22"/>
          <w:szCs w:val="22"/>
          <w:shd w:val="clear" w:color="auto" w:fill="FFFFFF"/>
          <w:lang w:val="fr-CH"/>
        </w:rPr>
        <w:t xml:space="preserve">e pêche industrielle, ces </w:t>
      </w:r>
      <w:r>
        <w:rPr>
          <w:rFonts w:ascii="Calibri" w:eastAsia="Times New Roman" w:hAnsi="Calibri" w:cs="Times New Roman"/>
          <w:color w:val="000000"/>
          <w:sz w:val="22"/>
          <w:szCs w:val="22"/>
          <w:shd w:val="clear" w:color="auto" w:fill="FFFFFF"/>
          <w:lang w:val="fr-CH"/>
        </w:rPr>
        <w:t xml:space="preserve">pays essaient d’empêcher les pays en développement de créer leur capacité domestique, tout en minant le développement et en ne contribuant peu ou pas à prévenir la pêche illicite, non déclarée et non règlementée (INN) </w:t>
      </w:r>
      <w:r w:rsidR="005C7841">
        <w:rPr>
          <w:rFonts w:ascii="Calibri" w:eastAsia="Times New Roman" w:hAnsi="Calibri" w:cs="Times New Roman"/>
          <w:color w:val="000000"/>
          <w:sz w:val="22"/>
          <w:szCs w:val="22"/>
          <w:shd w:val="clear" w:color="auto" w:fill="FFFFFF"/>
          <w:lang w:val="fr-CH"/>
        </w:rPr>
        <w:t>et</w:t>
      </w:r>
      <w:r>
        <w:rPr>
          <w:rFonts w:ascii="Calibri" w:eastAsia="Times New Roman" w:hAnsi="Calibri" w:cs="Times New Roman"/>
          <w:color w:val="000000"/>
          <w:sz w:val="22"/>
          <w:szCs w:val="22"/>
          <w:shd w:val="clear" w:color="auto" w:fill="FFFFFF"/>
          <w:lang w:val="fr-CH"/>
        </w:rPr>
        <w:t xml:space="preserve"> la surpêche.</w:t>
      </w:r>
      <w:r w:rsidR="00744FCB">
        <w:rPr>
          <w:rFonts w:ascii="Calibri" w:eastAsia="Times New Roman" w:hAnsi="Calibri" w:cs="Times New Roman"/>
          <w:color w:val="000000"/>
          <w:sz w:val="22"/>
          <w:szCs w:val="22"/>
          <w:shd w:val="clear" w:color="auto" w:fill="FFFFFF"/>
          <w:lang w:val="fr-CH"/>
        </w:rPr>
        <w:t xml:space="preserve"> L</w:t>
      </w:r>
      <w:r>
        <w:rPr>
          <w:rFonts w:ascii="Calibri" w:eastAsia="Times New Roman" w:hAnsi="Calibri" w:cs="Times New Roman"/>
          <w:color w:val="000000"/>
          <w:sz w:val="22"/>
          <w:szCs w:val="22"/>
          <w:shd w:val="clear" w:color="auto" w:fill="FFFFFF"/>
          <w:lang w:val="fr-CH"/>
        </w:rPr>
        <w:t>es pêcheries sont au cœur de</w:t>
      </w:r>
      <w:r w:rsidR="00744FCB">
        <w:rPr>
          <w:rFonts w:ascii="Calibri" w:eastAsia="Times New Roman" w:hAnsi="Calibri" w:cs="Times New Roman"/>
          <w:color w:val="000000"/>
          <w:sz w:val="22"/>
          <w:szCs w:val="22"/>
          <w:shd w:val="clear" w:color="auto" w:fill="FFFFFF"/>
          <w:lang w:val="fr-CH"/>
        </w:rPr>
        <w:t>s</w:t>
      </w:r>
      <w:r>
        <w:rPr>
          <w:rFonts w:ascii="Calibri" w:eastAsia="Times New Roman" w:hAnsi="Calibri" w:cs="Times New Roman"/>
          <w:color w:val="000000"/>
          <w:sz w:val="22"/>
          <w:szCs w:val="22"/>
          <w:shd w:val="clear" w:color="auto" w:fill="FFFFFF"/>
          <w:lang w:val="fr-CH"/>
        </w:rPr>
        <w:t xml:space="preserve"> aspirations économiques et de développement</w:t>
      </w:r>
      <w:r w:rsidR="00744FCB">
        <w:rPr>
          <w:rFonts w:ascii="Calibri" w:eastAsia="Times New Roman" w:hAnsi="Calibri" w:cs="Times New Roman"/>
          <w:color w:val="000000"/>
          <w:sz w:val="22"/>
          <w:szCs w:val="22"/>
          <w:shd w:val="clear" w:color="auto" w:fill="FFFFFF"/>
          <w:lang w:val="fr-CH"/>
        </w:rPr>
        <w:t xml:space="preserve"> de beaucoup de pays du Sud</w:t>
      </w:r>
      <w:r>
        <w:rPr>
          <w:rFonts w:ascii="Calibri" w:eastAsia="Times New Roman" w:hAnsi="Calibri" w:cs="Times New Roman"/>
          <w:color w:val="000000"/>
          <w:sz w:val="22"/>
          <w:szCs w:val="22"/>
          <w:shd w:val="clear" w:color="auto" w:fill="FFFFFF"/>
          <w:lang w:val="fr-CH"/>
        </w:rPr>
        <w:t>. Protéger la marge de manœuvre des pays en développement et l</w:t>
      </w:r>
      <w:r w:rsidR="00744FCB">
        <w:rPr>
          <w:rFonts w:ascii="Calibri" w:eastAsia="Times New Roman" w:hAnsi="Calibri" w:cs="Times New Roman"/>
          <w:color w:val="000000"/>
          <w:sz w:val="22"/>
          <w:szCs w:val="22"/>
          <w:shd w:val="clear" w:color="auto" w:fill="FFFFFF"/>
          <w:lang w:val="fr-CH"/>
        </w:rPr>
        <w:t>eur</w:t>
      </w:r>
      <w:r>
        <w:rPr>
          <w:rFonts w:ascii="Calibri" w:eastAsia="Times New Roman" w:hAnsi="Calibri" w:cs="Times New Roman"/>
          <w:color w:val="000000"/>
          <w:sz w:val="22"/>
          <w:szCs w:val="22"/>
          <w:shd w:val="clear" w:color="auto" w:fill="FFFFFF"/>
          <w:lang w:val="fr-CH"/>
        </w:rPr>
        <w:t xml:space="preserve"> capacité </w:t>
      </w:r>
      <w:r w:rsidR="00744FCB">
        <w:rPr>
          <w:rFonts w:ascii="Calibri" w:eastAsia="Times New Roman" w:hAnsi="Calibri" w:cs="Times New Roman"/>
          <w:color w:val="000000"/>
          <w:sz w:val="22"/>
          <w:szCs w:val="22"/>
          <w:shd w:val="clear" w:color="auto" w:fill="FFFFFF"/>
          <w:lang w:val="fr-CH"/>
        </w:rPr>
        <w:t>de</w:t>
      </w:r>
      <w:r>
        <w:rPr>
          <w:rFonts w:ascii="Calibri" w:eastAsia="Times New Roman" w:hAnsi="Calibri" w:cs="Times New Roman"/>
          <w:color w:val="000000"/>
          <w:sz w:val="22"/>
          <w:szCs w:val="22"/>
          <w:shd w:val="clear" w:color="auto" w:fill="FFFFFF"/>
          <w:lang w:val="fr-CH"/>
        </w:rPr>
        <w:t xml:space="preserve"> soutenir les petits pêcheurs artisanaux doit être au </w:t>
      </w:r>
      <w:r w:rsidR="005C7841">
        <w:rPr>
          <w:rFonts w:ascii="Calibri" w:eastAsia="Times New Roman" w:hAnsi="Calibri" w:cs="Times New Roman"/>
          <w:color w:val="000000"/>
          <w:sz w:val="22"/>
          <w:szCs w:val="22"/>
          <w:shd w:val="clear" w:color="auto" w:fill="FFFFFF"/>
          <w:lang w:val="fr-CH"/>
        </w:rPr>
        <w:t>centre d</w:t>
      </w:r>
      <w:r>
        <w:rPr>
          <w:rFonts w:ascii="Calibri" w:eastAsia="Times New Roman" w:hAnsi="Calibri" w:cs="Times New Roman"/>
          <w:color w:val="000000"/>
          <w:sz w:val="22"/>
          <w:szCs w:val="22"/>
          <w:shd w:val="clear" w:color="auto" w:fill="FFFFFF"/>
          <w:lang w:val="fr-CH"/>
        </w:rPr>
        <w:t xml:space="preserve">e tout résultat, avec une interdiction effective et contraignante des subventions. </w:t>
      </w:r>
      <w:r>
        <w:rPr>
          <w:rFonts w:ascii="Calibri" w:eastAsia="Times New Roman" w:hAnsi="Calibri" w:cs="Times New Roman"/>
          <w:b/>
          <w:color w:val="000000"/>
          <w:sz w:val="22"/>
          <w:szCs w:val="22"/>
          <w:shd w:val="clear" w:color="auto" w:fill="FFFFFF"/>
          <w:lang w:val="fr-CH"/>
        </w:rPr>
        <w:t>La marge de manœuvre pro-développement et économique des pays en développement doit être préservée alors que les pays qui ont contribué le plus au problème de l</w:t>
      </w:r>
      <w:r w:rsidR="005C7841">
        <w:rPr>
          <w:rFonts w:ascii="Calibri" w:eastAsia="Times New Roman" w:hAnsi="Calibri" w:cs="Times New Roman"/>
          <w:b/>
          <w:color w:val="000000"/>
          <w:sz w:val="22"/>
          <w:szCs w:val="22"/>
          <w:shd w:val="clear" w:color="auto" w:fill="FFFFFF"/>
          <w:lang w:val="fr-CH"/>
        </w:rPr>
        <w:t>’</w:t>
      </w:r>
      <w:r>
        <w:rPr>
          <w:rFonts w:ascii="Calibri" w:eastAsia="Times New Roman" w:hAnsi="Calibri" w:cs="Times New Roman"/>
          <w:b/>
          <w:color w:val="000000"/>
          <w:sz w:val="22"/>
          <w:szCs w:val="22"/>
          <w:shd w:val="clear" w:color="auto" w:fill="FFFFFF"/>
          <w:lang w:val="fr-CH"/>
        </w:rPr>
        <w:t>INN et de la surpêche doivent accepter d’éliminer les s</w:t>
      </w:r>
      <w:r w:rsidR="00095016">
        <w:rPr>
          <w:rFonts w:ascii="Calibri" w:eastAsia="Times New Roman" w:hAnsi="Calibri" w:cs="Times New Roman"/>
          <w:b/>
          <w:color w:val="000000"/>
          <w:sz w:val="22"/>
          <w:szCs w:val="22"/>
          <w:shd w:val="clear" w:color="auto" w:fill="FFFFFF"/>
          <w:lang w:val="fr-CH"/>
        </w:rPr>
        <w:t>ubventions néfastes. La gestion</w:t>
      </w:r>
      <w:r>
        <w:rPr>
          <w:rFonts w:ascii="Calibri" w:eastAsia="Times New Roman" w:hAnsi="Calibri" w:cs="Times New Roman"/>
          <w:b/>
          <w:color w:val="000000"/>
          <w:sz w:val="22"/>
          <w:szCs w:val="22"/>
          <w:shd w:val="clear" w:color="auto" w:fill="FFFFFF"/>
          <w:lang w:val="fr-CH"/>
        </w:rPr>
        <w:t xml:space="preserve"> des ressources </w:t>
      </w:r>
      <w:r w:rsidR="00F32721">
        <w:rPr>
          <w:rFonts w:ascii="Calibri" w:eastAsia="Times New Roman" w:hAnsi="Calibri" w:cs="Times New Roman"/>
          <w:b/>
          <w:color w:val="000000"/>
          <w:sz w:val="22"/>
          <w:szCs w:val="22"/>
          <w:shd w:val="clear" w:color="auto" w:fill="FFFFFF"/>
          <w:lang w:val="fr-CH"/>
        </w:rPr>
        <w:t xml:space="preserve">de la pêche </w:t>
      </w:r>
      <w:r w:rsidR="00095016">
        <w:rPr>
          <w:rFonts w:ascii="Calibri" w:eastAsia="Times New Roman" w:hAnsi="Calibri" w:cs="Times New Roman"/>
          <w:b/>
          <w:color w:val="000000"/>
          <w:sz w:val="22"/>
          <w:szCs w:val="22"/>
          <w:shd w:val="clear" w:color="auto" w:fill="FFFFFF"/>
          <w:lang w:val="fr-CH"/>
        </w:rPr>
        <w:t xml:space="preserve">doit rester en-dehors de l’OMC. </w:t>
      </w:r>
    </w:p>
    <w:p w14:paraId="0932240F" w14:textId="77777777" w:rsidR="00B502CF" w:rsidRDefault="00B502CF" w:rsidP="00B502CF">
      <w:pPr>
        <w:jc w:val="both"/>
        <w:rPr>
          <w:rFonts w:ascii="Calibri" w:eastAsia="Times New Roman" w:hAnsi="Calibri" w:cs="Times New Roman"/>
          <w:color w:val="000000"/>
          <w:sz w:val="22"/>
          <w:szCs w:val="22"/>
          <w:shd w:val="clear" w:color="auto" w:fill="FFFFFF"/>
          <w:lang w:val="fr-CH"/>
        </w:rPr>
      </w:pPr>
    </w:p>
    <w:p w14:paraId="639E06A0" w14:textId="77777777" w:rsidR="00920DC8" w:rsidRDefault="00920DC8" w:rsidP="00F8129F">
      <w:pPr>
        <w:pStyle w:val="Normal1"/>
        <w:spacing w:line="240" w:lineRule="auto"/>
        <w:rPr>
          <w:rFonts w:asciiTheme="minorHAnsi" w:eastAsia="Times New Roman" w:hAnsiTheme="minorHAnsi" w:cs="Times New Roman"/>
          <w:b/>
          <w:sz w:val="24"/>
          <w:szCs w:val="24"/>
          <w:lang w:val="fr-CH"/>
        </w:rPr>
      </w:pPr>
      <w:r w:rsidRPr="00920DC8">
        <w:rPr>
          <w:rFonts w:asciiTheme="minorHAnsi" w:eastAsia="Times New Roman" w:hAnsiTheme="minorHAnsi" w:cs="Times New Roman"/>
          <w:b/>
          <w:sz w:val="24"/>
          <w:szCs w:val="24"/>
          <w:lang w:val="fr-CH"/>
        </w:rPr>
        <w:t xml:space="preserve">Ce qui devrait être </w:t>
      </w:r>
      <w:r w:rsidR="007B6B54">
        <w:rPr>
          <w:rFonts w:asciiTheme="minorHAnsi" w:eastAsia="Times New Roman" w:hAnsiTheme="minorHAnsi" w:cs="Times New Roman"/>
          <w:b/>
          <w:sz w:val="24"/>
          <w:szCs w:val="24"/>
          <w:lang w:val="fr-CH"/>
        </w:rPr>
        <w:t xml:space="preserve">à </w:t>
      </w:r>
      <w:r w:rsidRPr="00920DC8">
        <w:rPr>
          <w:rFonts w:asciiTheme="minorHAnsi" w:eastAsia="Times New Roman" w:hAnsiTheme="minorHAnsi" w:cs="Times New Roman"/>
          <w:b/>
          <w:sz w:val="24"/>
          <w:szCs w:val="24"/>
          <w:lang w:val="fr-CH"/>
        </w:rPr>
        <w:t>l’agenda: r</w:t>
      </w:r>
      <w:r>
        <w:rPr>
          <w:rFonts w:asciiTheme="minorHAnsi" w:eastAsia="Times New Roman" w:hAnsiTheme="minorHAnsi" w:cs="Times New Roman"/>
          <w:b/>
          <w:sz w:val="24"/>
          <w:szCs w:val="24"/>
          <w:lang w:val="fr-CH"/>
        </w:rPr>
        <w:t>éparer les mauvaises règles en vigueur, non les étendre</w:t>
      </w:r>
    </w:p>
    <w:p w14:paraId="40710449" w14:textId="77777777" w:rsidR="00920DC8" w:rsidRPr="00920DC8" w:rsidRDefault="00920DC8" w:rsidP="00F8129F">
      <w:pPr>
        <w:pStyle w:val="Normal1"/>
        <w:spacing w:line="240" w:lineRule="auto"/>
        <w:rPr>
          <w:rFonts w:asciiTheme="minorHAnsi" w:eastAsia="Times New Roman" w:hAnsiTheme="minorHAnsi" w:cs="Times New Roman"/>
          <w:b/>
          <w:sz w:val="24"/>
          <w:szCs w:val="24"/>
          <w:lang w:val="fr-CH"/>
        </w:rPr>
      </w:pPr>
    </w:p>
    <w:p w14:paraId="4ABE4E65" w14:textId="77777777" w:rsidR="00F8129F" w:rsidRDefault="007B6B54" w:rsidP="00675847">
      <w:pPr>
        <w:pStyle w:val="Normal1"/>
        <w:spacing w:line="240" w:lineRule="auto"/>
        <w:jc w:val="both"/>
        <w:rPr>
          <w:rFonts w:asciiTheme="minorHAnsi" w:eastAsia="Times New Roman" w:hAnsiTheme="minorHAnsi" w:cs="Times New Roman"/>
          <w:lang w:val="fr-CH"/>
        </w:rPr>
      </w:pPr>
      <w:r>
        <w:rPr>
          <w:rFonts w:asciiTheme="minorHAnsi" w:eastAsia="Times New Roman" w:hAnsiTheme="minorHAnsi" w:cs="Times New Roman"/>
          <w:lang w:val="fr-CH"/>
        </w:rPr>
        <w:t>L</w:t>
      </w:r>
      <w:r w:rsidR="00675847" w:rsidRPr="00675847">
        <w:rPr>
          <w:rFonts w:asciiTheme="minorHAnsi" w:eastAsia="Times New Roman" w:hAnsiTheme="minorHAnsi" w:cs="Times New Roman"/>
          <w:lang w:val="fr-CH"/>
        </w:rPr>
        <w:t>es règles s</w:t>
      </w:r>
      <w:r w:rsidR="00675847">
        <w:rPr>
          <w:rFonts w:asciiTheme="minorHAnsi" w:eastAsia="Times New Roman" w:hAnsiTheme="minorHAnsi" w:cs="Times New Roman"/>
          <w:lang w:val="fr-CH"/>
        </w:rPr>
        <w:t xml:space="preserve">ur le commerce électronique </w:t>
      </w:r>
      <w:r>
        <w:rPr>
          <w:rFonts w:asciiTheme="minorHAnsi" w:eastAsia="Times New Roman" w:hAnsiTheme="minorHAnsi" w:cs="Times New Roman"/>
          <w:lang w:val="fr-CH"/>
        </w:rPr>
        <w:t xml:space="preserve">et </w:t>
      </w:r>
      <w:r w:rsidR="00675847">
        <w:rPr>
          <w:rFonts w:asciiTheme="minorHAnsi" w:eastAsia="Times New Roman" w:hAnsiTheme="minorHAnsi" w:cs="Times New Roman"/>
          <w:lang w:val="fr-CH"/>
        </w:rPr>
        <w:t xml:space="preserve">les disciplines sur les règlementations intérieures entraîneraient une expansion de l’OMC. </w:t>
      </w:r>
      <w:r>
        <w:rPr>
          <w:rFonts w:asciiTheme="minorHAnsi" w:eastAsia="Times New Roman" w:hAnsiTheme="minorHAnsi" w:cs="Times New Roman"/>
          <w:lang w:val="fr-CH"/>
        </w:rPr>
        <w:t xml:space="preserve">Pourtant </w:t>
      </w:r>
      <w:r w:rsidR="00675847">
        <w:rPr>
          <w:rFonts w:asciiTheme="minorHAnsi" w:eastAsia="Times New Roman" w:hAnsiTheme="minorHAnsi" w:cs="Times New Roman"/>
          <w:lang w:val="fr-CH"/>
        </w:rPr>
        <w:t xml:space="preserve">la grande majorité des membres de l’OMC ont affirmé que les règles </w:t>
      </w:r>
      <w:r>
        <w:rPr>
          <w:rFonts w:asciiTheme="minorHAnsi" w:eastAsia="Times New Roman" w:hAnsiTheme="minorHAnsi" w:cs="Times New Roman"/>
          <w:lang w:val="fr-CH"/>
        </w:rPr>
        <w:t xml:space="preserve">en vigueur, </w:t>
      </w:r>
      <w:r w:rsidR="00675847">
        <w:rPr>
          <w:rFonts w:asciiTheme="minorHAnsi" w:eastAsia="Times New Roman" w:hAnsiTheme="minorHAnsi" w:cs="Times New Roman"/>
          <w:lang w:val="fr-CH"/>
        </w:rPr>
        <w:t>injustes et néfastes</w:t>
      </w:r>
      <w:r>
        <w:rPr>
          <w:rFonts w:asciiTheme="minorHAnsi" w:eastAsia="Times New Roman" w:hAnsiTheme="minorHAnsi" w:cs="Times New Roman"/>
          <w:lang w:val="fr-CH"/>
        </w:rPr>
        <w:t>,</w:t>
      </w:r>
      <w:r w:rsidR="00675847">
        <w:rPr>
          <w:rFonts w:asciiTheme="minorHAnsi" w:eastAsia="Times New Roman" w:hAnsiTheme="minorHAnsi" w:cs="Times New Roman"/>
          <w:lang w:val="fr-CH"/>
        </w:rPr>
        <w:t xml:space="preserve"> doivent être changées avant que l’OMC puisse être étendue. Ce combat était au cœur de la dernière ministérielle à Nairobi, qui s’est terminée </w:t>
      </w:r>
      <w:r>
        <w:rPr>
          <w:rFonts w:asciiTheme="minorHAnsi" w:eastAsia="Times New Roman" w:hAnsiTheme="minorHAnsi" w:cs="Times New Roman"/>
          <w:lang w:val="fr-CH"/>
        </w:rPr>
        <w:t xml:space="preserve">par </w:t>
      </w:r>
      <w:r w:rsidR="00675847">
        <w:rPr>
          <w:rFonts w:asciiTheme="minorHAnsi" w:eastAsia="Times New Roman" w:hAnsiTheme="minorHAnsi" w:cs="Times New Roman"/>
          <w:lang w:val="fr-CH"/>
        </w:rPr>
        <w:t>un langage ambigu</w:t>
      </w:r>
      <w:r w:rsidR="006A51F1">
        <w:rPr>
          <w:rFonts w:asciiTheme="minorHAnsi" w:eastAsia="Times New Roman" w:hAnsiTheme="minorHAnsi" w:cs="Times New Roman"/>
          <w:lang w:val="fr-CH"/>
        </w:rPr>
        <w:t>,</w:t>
      </w:r>
      <w:r w:rsidR="00675847">
        <w:rPr>
          <w:rFonts w:asciiTheme="minorHAnsi" w:eastAsia="Times New Roman" w:hAnsiTheme="minorHAnsi" w:cs="Times New Roman"/>
          <w:lang w:val="fr-CH"/>
        </w:rPr>
        <w:t xml:space="preserve"> reconnaissant que certains pays voulaient introduire de nouveaux sujets, alors que d’autres (la grande majorité) v</w:t>
      </w:r>
      <w:r w:rsidR="00A0277F">
        <w:rPr>
          <w:rFonts w:asciiTheme="minorHAnsi" w:eastAsia="Times New Roman" w:hAnsiTheme="minorHAnsi" w:cs="Times New Roman"/>
          <w:lang w:val="fr-CH"/>
        </w:rPr>
        <w:t xml:space="preserve">oulaient </w:t>
      </w:r>
      <w:r w:rsidR="00675847">
        <w:rPr>
          <w:rFonts w:asciiTheme="minorHAnsi" w:eastAsia="Times New Roman" w:hAnsiTheme="minorHAnsi" w:cs="Times New Roman"/>
          <w:lang w:val="fr-CH"/>
        </w:rPr>
        <w:t>continuer l’agenda de développement non terminé</w:t>
      </w:r>
      <w:r>
        <w:rPr>
          <w:rFonts w:asciiTheme="minorHAnsi" w:eastAsia="Times New Roman" w:hAnsiTheme="minorHAnsi" w:cs="Times New Roman"/>
          <w:lang w:val="fr-CH"/>
        </w:rPr>
        <w:t>,</w:t>
      </w:r>
      <w:r w:rsidR="00675847">
        <w:rPr>
          <w:rFonts w:asciiTheme="minorHAnsi" w:eastAsia="Times New Roman" w:hAnsiTheme="minorHAnsi" w:cs="Times New Roman"/>
          <w:lang w:val="fr-CH"/>
        </w:rPr>
        <w:t xml:space="preserve"> qui </w:t>
      </w:r>
      <w:r>
        <w:rPr>
          <w:rFonts w:asciiTheme="minorHAnsi" w:eastAsia="Times New Roman" w:hAnsiTheme="minorHAnsi" w:cs="Times New Roman"/>
          <w:lang w:val="fr-CH"/>
        </w:rPr>
        <w:t xml:space="preserve">est </w:t>
      </w:r>
      <w:r w:rsidR="00675847">
        <w:rPr>
          <w:rFonts w:asciiTheme="minorHAnsi" w:eastAsia="Times New Roman" w:hAnsiTheme="minorHAnsi" w:cs="Times New Roman"/>
          <w:lang w:val="fr-CH"/>
        </w:rPr>
        <w:t xml:space="preserve">la raison pour laquelle ils </w:t>
      </w:r>
      <w:r>
        <w:rPr>
          <w:rFonts w:asciiTheme="minorHAnsi" w:eastAsia="Times New Roman" w:hAnsiTheme="minorHAnsi" w:cs="Times New Roman"/>
          <w:lang w:val="fr-CH"/>
        </w:rPr>
        <w:t xml:space="preserve">ont </w:t>
      </w:r>
      <w:r w:rsidR="00675847">
        <w:rPr>
          <w:rFonts w:asciiTheme="minorHAnsi" w:eastAsia="Times New Roman" w:hAnsiTheme="minorHAnsi" w:cs="Times New Roman"/>
          <w:lang w:val="fr-CH"/>
        </w:rPr>
        <w:t xml:space="preserve">accepté le Cycle de Doha </w:t>
      </w:r>
    </w:p>
    <w:p w14:paraId="01D2456C" w14:textId="77777777" w:rsidR="00675847" w:rsidRPr="00675847" w:rsidRDefault="00675847" w:rsidP="00675847">
      <w:pPr>
        <w:pStyle w:val="Normal1"/>
        <w:spacing w:line="240" w:lineRule="auto"/>
        <w:jc w:val="both"/>
        <w:rPr>
          <w:rFonts w:asciiTheme="minorHAnsi" w:eastAsia="Times New Roman" w:hAnsiTheme="minorHAnsi" w:cs="Times New Roman"/>
          <w:lang w:val="fr-CH"/>
        </w:rPr>
      </w:pPr>
    </w:p>
    <w:p w14:paraId="7ABDF3B5" w14:textId="77777777" w:rsidR="00816243" w:rsidRPr="00BD5CAD" w:rsidRDefault="00675847" w:rsidP="00816243">
      <w:pPr>
        <w:jc w:val="both"/>
        <w:rPr>
          <w:sz w:val="22"/>
          <w:szCs w:val="22"/>
          <w:lang w:val="fr-CH"/>
        </w:rPr>
      </w:pPr>
      <w:r w:rsidRPr="00675847">
        <w:rPr>
          <w:rFonts w:cs="Times New Roman"/>
          <w:sz w:val="22"/>
          <w:szCs w:val="22"/>
          <w:lang w:val="fr-CH"/>
        </w:rPr>
        <w:t>Malheureusement, certains membres de l</w:t>
      </w:r>
      <w:r>
        <w:rPr>
          <w:rFonts w:cs="Times New Roman"/>
          <w:sz w:val="22"/>
          <w:szCs w:val="22"/>
          <w:lang w:val="fr-CH"/>
        </w:rPr>
        <w:t xml:space="preserve">’OMC refusent </w:t>
      </w:r>
      <w:r w:rsidR="005F18D6">
        <w:rPr>
          <w:rFonts w:cs="Times New Roman"/>
          <w:sz w:val="22"/>
          <w:szCs w:val="22"/>
          <w:lang w:val="fr-CH"/>
        </w:rPr>
        <w:t xml:space="preserve">catégoriquement </w:t>
      </w:r>
      <w:r>
        <w:rPr>
          <w:rFonts w:cs="Times New Roman"/>
          <w:sz w:val="22"/>
          <w:szCs w:val="22"/>
          <w:lang w:val="fr-CH"/>
        </w:rPr>
        <w:t xml:space="preserve">d’avancer sur ce qui devrait être l’agenda central : réparer les règles injustes qui empêchent </w:t>
      </w:r>
      <w:r w:rsidR="00EE6A15">
        <w:rPr>
          <w:rFonts w:cs="Times New Roman"/>
          <w:sz w:val="22"/>
          <w:szCs w:val="22"/>
          <w:lang w:val="fr-CH"/>
        </w:rPr>
        <w:t xml:space="preserve">d’atteindre une </w:t>
      </w:r>
      <w:r>
        <w:rPr>
          <w:rFonts w:cs="Times New Roman"/>
          <w:sz w:val="22"/>
          <w:szCs w:val="22"/>
          <w:lang w:val="fr-CH"/>
        </w:rPr>
        <w:t xml:space="preserve">véritable sécurité alimentaire, le développement durable, l’accès à </w:t>
      </w:r>
      <w:r w:rsidR="006A51F1">
        <w:rPr>
          <w:rFonts w:cs="Times New Roman"/>
          <w:sz w:val="22"/>
          <w:szCs w:val="22"/>
          <w:lang w:val="fr-CH"/>
        </w:rPr>
        <w:t>la</w:t>
      </w:r>
      <w:r>
        <w:rPr>
          <w:rFonts w:cs="Times New Roman"/>
          <w:sz w:val="22"/>
          <w:szCs w:val="22"/>
          <w:lang w:val="fr-CH"/>
        </w:rPr>
        <w:t xml:space="preserve"> santé et </w:t>
      </w:r>
      <w:r w:rsidR="00EE6A15">
        <w:rPr>
          <w:rFonts w:cs="Times New Roman"/>
          <w:sz w:val="22"/>
          <w:szCs w:val="22"/>
          <w:lang w:val="fr-CH"/>
        </w:rPr>
        <w:t xml:space="preserve">à </w:t>
      </w:r>
      <w:r>
        <w:rPr>
          <w:rFonts w:cs="Times New Roman"/>
          <w:sz w:val="22"/>
          <w:szCs w:val="22"/>
          <w:lang w:val="fr-CH"/>
        </w:rPr>
        <w:t xml:space="preserve">des médicaments abordables et la stabilité financière internationale, </w:t>
      </w:r>
      <w:r w:rsidR="00EE6A15">
        <w:rPr>
          <w:rFonts w:cs="Times New Roman"/>
          <w:sz w:val="22"/>
          <w:szCs w:val="22"/>
          <w:lang w:val="fr-CH"/>
        </w:rPr>
        <w:t xml:space="preserve">comme souligné </w:t>
      </w:r>
      <w:r>
        <w:rPr>
          <w:rFonts w:cs="Times New Roman"/>
          <w:sz w:val="22"/>
          <w:szCs w:val="22"/>
          <w:lang w:val="fr-CH"/>
        </w:rPr>
        <w:t xml:space="preserve">dans </w:t>
      </w:r>
      <w:r w:rsidR="00816243">
        <w:rPr>
          <w:rFonts w:cs="Times New Roman"/>
          <w:sz w:val="22"/>
          <w:szCs w:val="22"/>
          <w:lang w:val="fr-CH"/>
        </w:rPr>
        <w:t xml:space="preserve"> la </w:t>
      </w:r>
      <w:hyperlink r:id="rId8" w:history="1">
        <w:r w:rsidR="00816243">
          <w:rPr>
            <w:rStyle w:val="Hyperlink"/>
            <w:rFonts w:cs="Times New Roman"/>
            <w:sz w:val="22"/>
            <w:szCs w:val="22"/>
            <w:lang w:val="fr-CH"/>
          </w:rPr>
          <w:t xml:space="preserve">Déclaration de renversement </w:t>
        </w:r>
      </w:hyperlink>
      <w:r w:rsidR="00816243" w:rsidRPr="00816243">
        <w:rPr>
          <w:sz w:val="22"/>
          <w:szCs w:val="22"/>
          <w:lang w:val="fr-CH"/>
        </w:rPr>
        <w:t>du réseau Notre monde n’est pas à vendre</w:t>
      </w:r>
      <w:r w:rsidR="00816243">
        <w:rPr>
          <w:lang w:val="fr-CH"/>
        </w:rPr>
        <w:t xml:space="preserve"> (OWINFS)</w:t>
      </w:r>
      <w:r w:rsidR="00BD5CAD">
        <w:rPr>
          <w:lang w:val="fr-CH"/>
        </w:rPr>
        <w:t xml:space="preserve">, </w:t>
      </w:r>
      <w:r w:rsidR="00BD5CAD">
        <w:rPr>
          <w:sz w:val="22"/>
          <w:szCs w:val="22"/>
          <w:lang w:val="fr-CH"/>
        </w:rPr>
        <w:t xml:space="preserve">signée par des centaines de groupes de la société civile </w:t>
      </w:r>
      <w:r w:rsidR="00EE6A15">
        <w:rPr>
          <w:sz w:val="22"/>
          <w:szCs w:val="22"/>
          <w:lang w:val="fr-CH"/>
        </w:rPr>
        <w:t>d</w:t>
      </w:r>
      <w:r w:rsidR="006A51F1">
        <w:rPr>
          <w:sz w:val="22"/>
          <w:szCs w:val="22"/>
          <w:lang w:val="fr-CH"/>
        </w:rPr>
        <w:t xml:space="preserve">e par le </w:t>
      </w:r>
      <w:r w:rsidR="00EE6A15">
        <w:rPr>
          <w:sz w:val="22"/>
          <w:szCs w:val="22"/>
          <w:lang w:val="fr-CH"/>
        </w:rPr>
        <w:t>monde</w:t>
      </w:r>
      <w:r w:rsidR="00BD5CAD">
        <w:rPr>
          <w:sz w:val="22"/>
          <w:szCs w:val="22"/>
          <w:lang w:val="fr-CH"/>
        </w:rPr>
        <w:t xml:space="preserve">. Au minimum, à Buenos Aires, les membres de l’OMC devraient se concentrer sur la transformation des règles internationales en agriculture qui limitent la capacité des pays en développement </w:t>
      </w:r>
      <w:r w:rsidR="00081522">
        <w:rPr>
          <w:sz w:val="22"/>
          <w:szCs w:val="22"/>
          <w:lang w:val="fr-CH"/>
        </w:rPr>
        <w:t xml:space="preserve">à </w:t>
      </w:r>
      <w:r w:rsidR="00BD5CAD">
        <w:rPr>
          <w:sz w:val="22"/>
          <w:szCs w:val="22"/>
          <w:lang w:val="fr-CH"/>
        </w:rPr>
        <w:t xml:space="preserve">assurer la sécurité alimentaire de leurs populations (tout en permettant aux grands agro-business des subventions publiques presque illimitées) et augmenter la flexibilité </w:t>
      </w:r>
      <w:r w:rsidR="00EE6A15">
        <w:rPr>
          <w:sz w:val="22"/>
          <w:szCs w:val="22"/>
          <w:lang w:val="fr-CH"/>
        </w:rPr>
        <w:t>d</w:t>
      </w:r>
      <w:r w:rsidR="00BD5CAD">
        <w:rPr>
          <w:sz w:val="22"/>
          <w:szCs w:val="22"/>
          <w:lang w:val="fr-CH"/>
        </w:rPr>
        <w:t>es pays e</w:t>
      </w:r>
      <w:r w:rsidR="00EE6A15">
        <w:rPr>
          <w:sz w:val="22"/>
          <w:szCs w:val="22"/>
          <w:lang w:val="fr-CH"/>
        </w:rPr>
        <w:t>n développement d’</w:t>
      </w:r>
      <w:r w:rsidR="00BD5CAD">
        <w:rPr>
          <w:sz w:val="22"/>
          <w:szCs w:val="22"/>
          <w:lang w:val="fr-CH"/>
        </w:rPr>
        <w:t xml:space="preserve">utiliser le commerce pour leur développement. </w:t>
      </w:r>
    </w:p>
    <w:p w14:paraId="643B5ECA" w14:textId="77777777" w:rsidR="00816243" w:rsidRDefault="00816243" w:rsidP="00816243">
      <w:pPr>
        <w:jc w:val="both"/>
        <w:rPr>
          <w:lang w:val="fr-CH"/>
        </w:rPr>
      </w:pPr>
    </w:p>
    <w:p w14:paraId="54B05BD9" w14:textId="77777777" w:rsidR="009B5A2A" w:rsidRPr="009B5A2A" w:rsidRDefault="009B5A2A" w:rsidP="00F8129F">
      <w:pPr>
        <w:pStyle w:val="Normal1"/>
        <w:spacing w:line="240" w:lineRule="auto"/>
        <w:rPr>
          <w:rFonts w:asciiTheme="minorHAnsi" w:eastAsia="Times New Roman" w:hAnsiTheme="minorHAnsi" w:cs="Times New Roman"/>
          <w:b/>
          <w:lang w:val="fr-CH"/>
        </w:rPr>
      </w:pPr>
      <w:r w:rsidRPr="009B5A2A">
        <w:rPr>
          <w:rFonts w:asciiTheme="minorHAnsi" w:eastAsia="Times New Roman" w:hAnsiTheme="minorHAnsi" w:cs="Times New Roman"/>
          <w:b/>
          <w:lang w:val="fr-CH"/>
        </w:rPr>
        <w:t>Les règles en agriculture do</w:t>
      </w:r>
      <w:r>
        <w:rPr>
          <w:rFonts w:asciiTheme="minorHAnsi" w:eastAsia="Times New Roman" w:hAnsiTheme="minorHAnsi" w:cs="Times New Roman"/>
          <w:b/>
          <w:lang w:val="fr-CH"/>
        </w:rPr>
        <w:t xml:space="preserve">ivent donner la priorité à la sécurité alimentaire et à la souveraineté alimentaire. </w:t>
      </w:r>
    </w:p>
    <w:p w14:paraId="0CC08653" w14:textId="77777777" w:rsidR="009B5A2A" w:rsidRDefault="00265E14" w:rsidP="00265E14">
      <w:pPr>
        <w:pStyle w:val="Normal1"/>
        <w:spacing w:line="240" w:lineRule="auto"/>
        <w:jc w:val="both"/>
        <w:rPr>
          <w:rFonts w:asciiTheme="minorHAnsi" w:eastAsia="Times New Roman" w:hAnsiTheme="minorHAnsi" w:cs="Times New Roman"/>
          <w:b/>
          <w:lang w:val="fr-CH"/>
        </w:rPr>
      </w:pPr>
      <w:r>
        <w:rPr>
          <w:rFonts w:asciiTheme="minorHAnsi" w:eastAsia="Times New Roman" w:hAnsiTheme="minorHAnsi" w:cs="Times New Roman"/>
          <w:lang w:val="fr-CH"/>
        </w:rPr>
        <w:t xml:space="preserve">La plus grande priorité </w:t>
      </w:r>
      <w:r w:rsidR="00AF6668">
        <w:rPr>
          <w:rFonts w:asciiTheme="minorHAnsi" w:eastAsia="Times New Roman" w:hAnsiTheme="minorHAnsi" w:cs="Times New Roman"/>
          <w:lang w:val="fr-CH"/>
        </w:rPr>
        <w:t>d’</w:t>
      </w:r>
      <w:r>
        <w:rPr>
          <w:rFonts w:asciiTheme="minorHAnsi" w:eastAsia="Times New Roman" w:hAnsiTheme="minorHAnsi" w:cs="Times New Roman"/>
          <w:lang w:val="fr-CH"/>
        </w:rPr>
        <w:t xml:space="preserve">un </w:t>
      </w:r>
      <w:r w:rsidR="00AF6668">
        <w:rPr>
          <w:rFonts w:asciiTheme="minorHAnsi" w:eastAsia="Times New Roman" w:hAnsiTheme="minorHAnsi" w:cs="Times New Roman"/>
          <w:lang w:val="fr-CH"/>
        </w:rPr>
        <w:t xml:space="preserve">véritable </w:t>
      </w:r>
      <w:r>
        <w:rPr>
          <w:rFonts w:asciiTheme="minorHAnsi" w:eastAsia="Times New Roman" w:hAnsiTheme="minorHAnsi" w:cs="Times New Roman"/>
          <w:lang w:val="fr-CH"/>
        </w:rPr>
        <w:t xml:space="preserve">agenda pro-développement serait de transformer les règles actuelles en agriculture. Incroyable, mais vrai : </w:t>
      </w:r>
      <w:r w:rsidR="00AF6668">
        <w:rPr>
          <w:rFonts w:asciiTheme="minorHAnsi" w:eastAsia="Times New Roman" w:hAnsiTheme="minorHAnsi" w:cs="Times New Roman"/>
          <w:lang w:val="fr-CH"/>
        </w:rPr>
        <w:t xml:space="preserve">en vertu des règles de l’OMC, </w:t>
      </w:r>
      <w:r>
        <w:rPr>
          <w:rFonts w:asciiTheme="minorHAnsi" w:eastAsia="Times New Roman" w:hAnsiTheme="minorHAnsi" w:cs="Times New Roman"/>
          <w:lang w:val="fr-CH"/>
        </w:rPr>
        <w:t>ce sont les pays riches et non les pauvres qui ont actuellement le droit de subventionner l’agriculture – même d’une façon qui a un effet de distorsion sur le</w:t>
      </w:r>
      <w:r w:rsidR="00AF6668">
        <w:rPr>
          <w:rFonts w:asciiTheme="minorHAnsi" w:eastAsia="Times New Roman" w:hAnsiTheme="minorHAnsi" w:cs="Times New Roman"/>
          <w:lang w:val="fr-CH"/>
        </w:rPr>
        <w:t xml:space="preserve">s échanges </w:t>
      </w:r>
      <w:r>
        <w:rPr>
          <w:rFonts w:asciiTheme="minorHAnsi" w:eastAsia="Times New Roman" w:hAnsiTheme="minorHAnsi" w:cs="Times New Roman"/>
          <w:lang w:val="fr-CH"/>
        </w:rPr>
        <w:t xml:space="preserve">et nuit aux producteurs </w:t>
      </w:r>
      <w:r w:rsidR="00E157FB">
        <w:rPr>
          <w:rFonts w:asciiTheme="minorHAnsi" w:eastAsia="Times New Roman" w:hAnsiTheme="minorHAnsi" w:cs="Times New Roman"/>
          <w:lang w:val="fr-CH"/>
        </w:rPr>
        <w:t xml:space="preserve">d’autres pays. Les dizaines de milliards de dollars </w:t>
      </w:r>
      <w:r w:rsidR="00AF6668">
        <w:rPr>
          <w:rFonts w:asciiTheme="minorHAnsi" w:eastAsia="Times New Roman" w:hAnsiTheme="minorHAnsi" w:cs="Times New Roman"/>
          <w:lang w:val="fr-CH"/>
        </w:rPr>
        <w:t xml:space="preserve">par an </w:t>
      </w:r>
      <w:r w:rsidR="00E157FB">
        <w:rPr>
          <w:rFonts w:asciiTheme="minorHAnsi" w:eastAsia="Times New Roman" w:hAnsiTheme="minorHAnsi" w:cs="Times New Roman"/>
          <w:lang w:val="fr-CH"/>
        </w:rPr>
        <w:t>de subventions autorisées dans les pays développés encourage</w:t>
      </w:r>
      <w:r w:rsidR="00AF6668">
        <w:rPr>
          <w:rFonts w:asciiTheme="minorHAnsi" w:eastAsia="Times New Roman" w:hAnsiTheme="minorHAnsi" w:cs="Times New Roman"/>
          <w:lang w:val="fr-CH"/>
        </w:rPr>
        <w:t>nt</w:t>
      </w:r>
      <w:r w:rsidR="00E157FB">
        <w:rPr>
          <w:rFonts w:asciiTheme="minorHAnsi" w:eastAsia="Times New Roman" w:hAnsiTheme="minorHAnsi" w:cs="Times New Roman"/>
          <w:lang w:val="fr-CH"/>
        </w:rPr>
        <w:t xml:space="preserve"> la surproduction </w:t>
      </w:r>
      <w:r w:rsidR="00AF6668">
        <w:rPr>
          <w:rFonts w:asciiTheme="minorHAnsi" w:eastAsia="Times New Roman" w:hAnsiTheme="minorHAnsi" w:cs="Times New Roman"/>
          <w:lang w:val="fr-CH"/>
        </w:rPr>
        <w:t>et</w:t>
      </w:r>
      <w:r w:rsidR="00E157FB">
        <w:rPr>
          <w:rFonts w:asciiTheme="minorHAnsi" w:eastAsia="Times New Roman" w:hAnsiTheme="minorHAnsi" w:cs="Times New Roman"/>
          <w:lang w:val="fr-CH"/>
        </w:rPr>
        <w:t xml:space="preserve"> dépriment artificiellement les prix mondiaux, détruisant les sources de revenu des paysans dans des pays qui devraient </w:t>
      </w:r>
      <w:r w:rsidR="00AF6668">
        <w:rPr>
          <w:rFonts w:asciiTheme="minorHAnsi" w:eastAsia="Times New Roman" w:hAnsiTheme="minorHAnsi" w:cs="Times New Roman"/>
          <w:lang w:val="fr-CH"/>
        </w:rPr>
        <w:t xml:space="preserve">bénéficier </w:t>
      </w:r>
      <w:r w:rsidR="00E157FB">
        <w:rPr>
          <w:rFonts w:asciiTheme="minorHAnsi" w:eastAsia="Times New Roman" w:hAnsiTheme="minorHAnsi" w:cs="Times New Roman"/>
          <w:lang w:val="fr-CH"/>
        </w:rPr>
        <w:t xml:space="preserve">du commerce </w:t>
      </w:r>
      <w:r w:rsidR="00AF6668">
        <w:rPr>
          <w:rFonts w:asciiTheme="minorHAnsi" w:eastAsia="Times New Roman" w:hAnsiTheme="minorHAnsi" w:cs="Times New Roman"/>
          <w:lang w:val="fr-CH"/>
        </w:rPr>
        <w:t xml:space="preserve">agricole international </w:t>
      </w:r>
      <w:r w:rsidR="00E157FB">
        <w:rPr>
          <w:rFonts w:asciiTheme="minorHAnsi" w:eastAsia="Times New Roman" w:hAnsiTheme="minorHAnsi" w:cs="Times New Roman"/>
          <w:lang w:val="fr-CH"/>
        </w:rPr>
        <w:t xml:space="preserve">ou de la production pour la consommation intérieure. </w:t>
      </w:r>
      <w:r w:rsidR="00E157FB">
        <w:rPr>
          <w:rFonts w:asciiTheme="minorHAnsi" w:eastAsia="Times New Roman" w:hAnsiTheme="minorHAnsi" w:cs="Times New Roman"/>
          <w:b/>
          <w:lang w:val="fr-CH"/>
        </w:rPr>
        <w:t>Ainsi un résultat important à Buenos Aires devrait être de réduire la quantité de subventions dans les négociations sur le « soutien interne » - y compris les subv</w:t>
      </w:r>
      <w:r w:rsidR="00AC15E1">
        <w:rPr>
          <w:rFonts w:asciiTheme="minorHAnsi" w:eastAsia="Times New Roman" w:hAnsiTheme="minorHAnsi" w:cs="Times New Roman"/>
          <w:b/>
          <w:lang w:val="fr-CH"/>
        </w:rPr>
        <w:t xml:space="preserve">entions dans la </w:t>
      </w:r>
      <w:r w:rsidR="00705F9F">
        <w:rPr>
          <w:rFonts w:asciiTheme="minorHAnsi" w:eastAsia="Times New Roman" w:hAnsiTheme="minorHAnsi" w:cs="Times New Roman"/>
          <w:b/>
          <w:lang w:val="fr-CH"/>
        </w:rPr>
        <w:t xml:space="preserve">catégorie de la </w:t>
      </w:r>
      <w:r w:rsidR="00E157FB">
        <w:rPr>
          <w:rFonts w:asciiTheme="minorHAnsi" w:eastAsia="Times New Roman" w:hAnsiTheme="minorHAnsi" w:cs="Times New Roman"/>
          <w:b/>
          <w:lang w:val="fr-CH"/>
        </w:rPr>
        <w:t xml:space="preserve">« boîte verte » </w:t>
      </w:r>
      <w:r w:rsidR="00AC15E1">
        <w:rPr>
          <w:rFonts w:asciiTheme="minorHAnsi" w:eastAsia="Times New Roman" w:hAnsiTheme="minorHAnsi" w:cs="Times New Roman"/>
          <w:b/>
          <w:lang w:val="fr-CH"/>
        </w:rPr>
        <w:t>lorsqu’</w:t>
      </w:r>
      <w:r w:rsidR="00C7181C">
        <w:rPr>
          <w:rFonts w:asciiTheme="minorHAnsi" w:eastAsia="Times New Roman" w:hAnsiTheme="minorHAnsi" w:cs="Times New Roman"/>
          <w:b/>
          <w:lang w:val="fr-CH"/>
        </w:rPr>
        <w:t>elle</w:t>
      </w:r>
      <w:r w:rsidR="00AC15E1">
        <w:rPr>
          <w:rFonts w:asciiTheme="minorHAnsi" w:eastAsia="Times New Roman" w:hAnsiTheme="minorHAnsi" w:cs="Times New Roman"/>
          <w:b/>
          <w:lang w:val="fr-CH"/>
        </w:rPr>
        <w:t xml:space="preserve">s ont </w:t>
      </w:r>
      <w:r w:rsidR="00E157FB">
        <w:rPr>
          <w:rFonts w:asciiTheme="minorHAnsi" w:eastAsia="Times New Roman" w:hAnsiTheme="minorHAnsi" w:cs="Times New Roman"/>
          <w:b/>
          <w:lang w:val="fr-CH"/>
        </w:rPr>
        <w:t xml:space="preserve">quand même </w:t>
      </w:r>
      <w:r w:rsidR="00AC15E1">
        <w:rPr>
          <w:rFonts w:asciiTheme="minorHAnsi" w:eastAsia="Times New Roman" w:hAnsiTheme="minorHAnsi" w:cs="Times New Roman"/>
          <w:b/>
          <w:lang w:val="fr-CH"/>
        </w:rPr>
        <w:t xml:space="preserve">un effet de </w:t>
      </w:r>
      <w:r w:rsidR="00E157FB">
        <w:rPr>
          <w:rFonts w:asciiTheme="minorHAnsi" w:eastAsia="Times New Roman" w:hAnsiTheme="minorHAnsi" w:cs="Times New Roman"/>
          <w:b/>
          <w:lang w:val="fr-CH"/>
        </w:rPr>
        <w:t xml:space="preserve">distorsion sur les échanges. </w:t>
      </w:r>
    </w:p>
    <w:p w14:paraId="50EDE69B" w14:textId="77777777" w:rsidR="00E157FB" w:rsidRDefault="00E157FB" w:rsidP="00265E14">
      <w:pPr>
        <w:pStyle w:val="Normal1"/>
        <w:spacing w:line="240" w:lineRule="auto"/>
        <w:jc w:val="both"/>
        <w:rPr>
          <w:rFonts w:asciiTheme="minorHAnsi" w:eastAsia="Times New Roman" w:hAnsiTheme="minorHAnsi" w:cs="Times New Roman"/>
          <w:b/>
          <w:lang w:val="fr-CH"/>
        </w:rPr>
      </w:pPr>
    </w:p>
    <w:p w14:paraId="51B4BAF3" w14:textId="77777777" w:rsidR="00E157FB" w:rsidRPr="00884362" w:rsidRDefault="00E157FB" w:rsidP="00265E14">
      <w:pPr>
        <w:pStyle w:val="Normal1"/>
        <w:spacing w:line="240" w:lineRule="auto"/>
        <w:jc w:val="both"/>
        <w:rPr>
          <w:rFonts w:asciiTheme="minorHAnsi" w:eastAsia="Times New Roman" w:hAnsiTheme="minorHAnsi" w:cs="Times New Roman"/>
          <w:lang w:val="fr-CH"/>
        </w:rPr>
      </w:pPr>
      <w:r>
        <w:rPr>
          <w:rFonts w:asciiTheme="minorHAnsi" w:eastAsia="Times New Roman" w:hAnsiTheme="minorHAnsi" w:cs="Times New Roman"/>
          <w:lang w:val="fr-CH"/>
        </w:rPr>
        <w:t xml:space="preserve">En raison des subventions existantes, les pays en développement devraient aussi pouvoir augmenter les droits de douane pour protéger la production intérieure en cas d’augmentation </w:t>
      </w:r>
      <w:r w:rsidR="00B806DB">
        <w:rPr>
          <w:rFonts w:asciiTheme="minorHAnsi" w:eastAsia="Times New Roman" w:hAnsiTheme="minorHAnsi" w:cs="Times New Roman"/>
          <w:lang w:val="fr-CH"/>
        </w:rPr>
        <w:t xml:space="preserve">soudaine </w:t>
      </w:r>
      <w:r>
        <w:rPr>
          <w:rFonts w:asciiTheme="minorHAnsi" w:eastAsia="Times New Roman" w:hAnsiTheme="minorHAnsi" w:cs="Times New Roman"/>
          <w:lang w:val="fr-CH"/>
        </w:rPr>
        <w:t>des importations. Malheureusement, certains pays s’opposent aux négociations sur un « mécanisme spécial de sauvegarde » (</w:t>
      </w:r>
      <w:r w:rsidR="00884362">
        <w:rPr>
          <w:rFonts w:asciiTheme="minorHAnsi" w:eastAsia="Times New Roman" w:hAnsiTheme="minorHAnsi" w:cs="Times New Roman"/>
          <w:lang w:val="fr-CH"/>
        </w:rPr>
        <w:t>M</w:t>
      </w:r>
      <w:r>
        <w:rPr>
          <w:rFonts w:asciiTheme="minorHAnsi" w:eastAsia="Times New Roman" w:hAnsiTheme="minorHAnsi" w:cs="Times New Roman"/>
          <w:lang w:val="fr-CH"/>
        </w:rPr>
        <w:t>SS) opérationnel</w:t>
      </w:r>
      <w:r w:rsidR="00884362">
        <w:rPr>
          <w:rFonts w:asciiTheme="minorHAnsi" w:eastAsia="Times New Roman" w:hAnsiTheme="minorHAnsi" w:cs="Times New Roman"/>
          <w:lang w:val="fr-CH"/>
        </w:rPr>
        <w:t xml:space="preserve"> pour les pays en développement. </w:t>
      </w:r>
      <w:r w:rsidR="00884362">
        <w:rPr>
          <w:rFonts w:asciiTheme="minorHAnsi" w:eastAsia="Times New Roman" w:hAnsiTheme="minorHAnsi" w:cs="Times New Roman"/>
          <w:b/>
          <w:lang w:val="fr-CH"/>
        </w:rPr>
        <w:t xml:space="preserve">Un résultat sur le MSS – non conditionné à </w:t>
      </w:r>
      <w:r w:rsidR="00AB3575">
        <w:rPr>
          <w:rFonts w:asciiTheme="minorHAnsi" w:eastAsia="Times New Roman" w:hAnsiTheme="minorHAnsi" w:cs="Times New Roman"/>
          <w:b/>
          <w:lang w:val="fr-CH"/>
        </w:rPr>
        <w:t xml:space="preserve">d’autres réductions des </w:t>
      </w:r>
      <w:r w:rsidR="00884362">
        <w:rPr>
          <w:rFonts w:asciiTheme="minorHAnsi" w:eastAsia="Times New Roman" w:hAnsiTheme="minorHAnsi" w:cs="Times New Roman"/>
          <w:b/>
          <w:lang w:val="fr-CH"/>
        </w:rPr>
        <w:t xml:space="preserve">droits de douane – à la ministérielle </w:t>
      </w:r>
      <w:r w:rsidR="00B806DB">
        <w:rPr>
          <w:rFonts w:asciiTheme="minorHAnsi" w:eastAsia="Times New Roman" w:hAnsiTheme="minorHAnsi" w:cs="Times New Roman"/>
          <w:b/>
          <w:lang w:val="fr-CH"/>
        </w:rPr>
        <w:t xml:space="preserve">à venir </w:t>
      </w:r>
      <w:r w:rsidR="00884362">
        <w:rPr>
          <w:rFonts w:asciiTheme="minorHAnsi" w:eastAsia="Times New Roman" w:hAnsiTheme="minorHAnsi" w:cs="Times New Roman"/>
          <w:b/>
          <w:lang w:val="fr-CH"/>
        </w:rPr>
        <w:t xml:space="preserve">augmenterait énormément la capacité des pays en développement d’atteindre la sécurité </w:t>
      </w:r>
      <w:r w:rsidR="00884362">
        <w:rPr>
          <w:rFonts w:asciiTheme="minorHAnsi" w:eastAsia="Times New Roman" w:hAnsiTheme="minorHAnsi" w:cs="Times New Roman"/>
          <w:b/>
          <w:lang w:val="fr-CH"/>
        </w:rPr>
        <w:lastRenderedPageBreak/>
        <w:t>alimentaire, promouvoir le développement rural et sauvegarder les sources de revenu des paysans – et ce serait un pas en vue d</w:t>
      </w:r>
      <w:r w:rsidR="00B806DB">
        <w:rPr>
          <w:rFonts w:asciiTheme="minorHAnsi" w:eastAsia="Times New Roman" w:hAnsiTheme="minorHAnsi" w:cs="Times New Roman"/>
          <w:b/>
          <w:lang w:val="fr-CH"/>
        </w:rPr>
        <w:t xml:space="preserve">e l’élimination des contraintes </w:t>
      </w:r>
      <w:r w:rsidR="00884362">
        <w:rPr>
          <w:rFonts w:asciiTheme="minorHAnsi" w:eastAsia="Times New Roman" w:hAnsiTheme="minorHAnsi" w:cs="Times New Roman"/>
          <w:b/>
          <w:lang w:val="fr-CH"/>
        </w:rPr>
        <w:t xml:space="preserve">posées par l’OMC à la souveraineté alimentaire. </w:t>
      </w:r>
    </w:p>
    <w:p w14:paraId="1D74D2AC" w14:textId="77777777" w:rsidR="00F8129F" w:rsidRPr="00265E14" w:rsidRDefault="00F8129F" w:rsidP="00265E14">
      <w:pPr>
        <w:pStyle w:val="Normal1"/>
        <w:spacing w:line="240" w:lineRule="auto"/>
        <w:jc w:val="both"/>
        <w:rPr>
          <w:rFonts w:asciiTheme="minorHAnsi" w:eastAsia="Times New Roman" w:hAnsiTheme="minorHAnsi" w:cs="Times New Roman"/>
          <w:lang w:val="fr-CH"/>
        </w:rPr>
      </w:pPr>
    </w:p>
    <w:p w14:paraId="25C2D485" w14:textId="77777777" w:rsidR="00F8129F" w:rsidRDefault="00BF2634" w:rsidP="00B336C6">
      <w:pPr>
        <w:pStyle w:val="Normal1"/>
        <w:spacing w:line="240" w:lineRule="auto"/>
        <w:jc w:val="both"/>
        <w:rPr>
          <w:rFonts w:asciiTheme="minorHAnsi" w:hAnsiTheme="minorHAnsi" w:cs="Times New Roman"/>
          <w:lang w:val="fr-CH"/>
        </w:rPr>
      </w:pPr>
      <w:r>
        <w:rPr>
          <w:rFonts w:asciiTheme="minorHAnsi" w:hAnsiTheme="minorHAnsi" w:cs="Times New Roman"/>
          <w:lang w:val="fr-CH"/>
        </w:rPr>
        <w:t>L</w:t>
      </w:r>
      <w:r w:rsidR="00B336C6" w:rsidRPr="00B336C6">
        <w:rPr>
          <w:rFonts w:asciiTheme="minorHAnsi" w:hAnsiTheme="minorHAnsi" w:cs="Times New Roman"/>
          <w:lang w:val="fr-CH"/>
        </w:rPr>
        <w:t>a plupart d</w:t>
      </w:r>
      <w:r w:rsidR="00B336C6">
        <w:rPr>
          <w:rFonts w:asciiTheme="minorHAnsi" w:hAnsiTheme="minorHAnsi" w:cs="Times New Roman"/>
          <w:lang w:val="fr-CH"/>
        </w:rPr>
        <w:t xml:space="preserve">es pays en développement n’ont droit qu’à des subventions minuscules. </w:t>
      </w:r>
      <w:r>
        <w:rPr>
          <w:rFonts w:asciiTheme="minorHAnsi" w:hAnsiTheme="minorHAnsi" w:cs="Times New Roman"/>
          <w:lang w:val="fr-CH"/>
        </w:rPr>
        <w:t xml:space="preserve">Pourtant </w:t>
      </w:r>
      <w:r w:rsidR="00B336C6">
        <w:rPr>
          <w:rFonts w:asciiTheme="minorHAnsi" w:hAnsiTheme="minorHAnsi" w:cs="Times New Roman"/>
          <w:lang w:val="fr-CH"/>
        </w:rPr>
        <w:t xml:space="preserve">les ODD encouragent les pays à augmenter l’investissement dans l’agriculture durable. </w:t>
      </w:r>
      <w:r>
        <w:rPr>
          <w:rFonts w:asciiTheme="minorHAnsi" w:hAnsiTheme="minorHAnsi" w:cs="Times New Roman"/>
          <w:lang w:val="fr-CH"/>
        </w:rPr>
        <w:t xml:space="preserve">On assiste aussi à une </w:t>
      </w:r>
      <w:r w:rsidR="00B336C6">
        <w:rPr>
          <w:rFonts w:asciiTheme="minorHAnsi" w:hAnsiTheme="minorHAnsi" w:cs="Times New Roman"/>
          <w:lang w:val="fr-CH"/>
        </w:rPr>
        <w:t xml:space="preserve">acceptation croissante du « droit à l’alimentation » comme droit humain. L’une des meilleures pratiques internationales pour soutenir les moyens de subsistance des paysans, assurer la sécurité alimentaire et promouvoir le développement rural est le « stockage public », par lequel les gouvernements garantissent aux paysans un prix minimum pour leur production et distribuent cette nourriture aux personnes affamées à l’intérieur de leurs frontières. Mais ces programmes, mis en œuvre dans des dizaines de pays en développement, se heurtent souvent aux règles de l’OMC – même si l’agriculture ainsi soutenue n’est pas échangée sur les marchés internationaux. </w:t>
      </w:r>
      <w:r w:rsidR="00863B8F">
        <w:rPr>
          <w:rFonts w:asciiTheme="minorHAnsi" w:hAnsiTheme="minorHAnsi" w:cs="Times New Roman"/>
          <w:lang w:val="fr-CH"/>
        </w:rPr>
        <w:t>La majorité des membres de l’OMC ont décidé que les programmes de stockage public ne devraient pas être limités par des règles de l’OMC dépassée</w:t>
      </w:r>
      <w:r w:rsidR="00A808A3">
        <w:rPr>
          <w:rFonts w:asciiTheme="minorHAnsi" w:hAnsiTheme="minorHAnsi" w:cs="Times New Roman"/>
          <w:lang w:val="fr-CH"/>
        </w:rPr>
        <w:t xml:space="preserve">s. Mais les changements ont </w:t>
      </w:r>
      <w:r w:rsidR="00863B8F">
        <w:rPr>
          <w:rFonts w:asciiTheme="minorHAnsi" w:hAnsiTheme="minorHAnsi" w:cs="Times New Roman"/>
          <w:lang w:val="fr-CH"/>
        </w:rPr>
        <w:t xml:space="preserve">toujours </w:t>
      </w:r>
      <w:r w:rsidR="00A808A3">
        <w:rPr>
          <w:rFonts w:asciiTheme="minorHAnsi" w:hAnsiTheme="minorHAnsi" w:cs="Times New Roman"/>
          <w:lang w:val="fr-CH"/>
        </w:rPr>
        <w:t xml:space="preserve">été </w:t>
      </w:r>
      <w:r w:rsidR="00863B8F">
        <w:rPr>
          <w:rFonts w:asciiTheme="minorHAnsi" w:hAnsiTheme="minorHAnsi" w:cs="Times New Roman"/>
          <w:lang w:val="fr-CH"/>
        </w:rPr>
        <w:t xml:space="preserve">bloqués par les Etats-Unis, l’UE, l’Australie et d’autres grands </w:t>
      </w:r>
      <w:r>
        <w:rPr>
          <w:rFonts w:asciiTheme="minorHAnsi" w:hAnsiTheme="minorHAnsi" w:cs="Times New Roman"/>
          <w:lang w:val="fr-CH"/>
        </w:rPr>
        <w:t>agro-exportateurs</w:t>
      </w:r>
      <w:r w:rsidR="00863B8F">
        <w:rPr>
          <w:rFonts w:asciiTheme="minorHAnsi" w:hAnsiTheme="minorHAnsi" w:cs="Times New Roman"/>
          <w:lang w:val="fr-CH"/>
        </w:rPr>
        <w:t xml:space="preserve">. Et maintenant </w:t>
      </w:r>
      <w:r>
        <w:rPr>
          <w:rFonts w:asciiTheme="minorHAnsi" w:hAnsiTheme="minorHAnsi" w:cs="Times New Roman"/>
          <w:lang w:val="fr-CH"/>
        </w:rPr>
        <w:t xml:space="preserve">cela devient carrément absurde car </w:t>
      </w:r>
      <w:r w:rsidR="00863B8F">
        <w:rPr>
          <w:rFonts w:asciiTheme="minorHAnsi" w:hAnsiTheme="minorHAnsi" w:cs="Times New Roman"/>
          <w:lang w:val="fr-CH"/>
        </w:rPr>
        <w:t xml:space="preserve">la Chine et l’Inde sont accusées d’octroyer le plus de subventions, alors que leurs paiements par </w:t>
      </w:r>
      <w:r>
        <w:rPr>
          <w:rFonts w:asciiTheme="minorHAnsi" w:hAnsiTheme="minorHAnsi" w:cs="Times New Roman"/>
          <w:lang w:val="fr-CH"/>
        </w:rPr>
        <w:t xml:space="preserve">habitant </w:t>
      </w:r>
      <w:r w:rsidR="00863B8F">
        <w:rPr>
          <w:rFonts w:asciiTheme="minorHAnsi" w:hAnsiTheme="minorHAnsi" w:cs="Times New Roman"/>
          <w:lang w:val="fr-CH"/>
        </w:rPr>
        <w:t>restent minuscules – quelques centaines de dollars par paysan, comparé</w:t>
      </w:r>
      <w:r w:rsidR="00FC2C61">
        <w:rPr>
          <w:rFonts w:asciiTheme="minorHAnsi" w:hAnsiTheme="minorHAnsi" w:cs="Times New Roman"/>
          <w:lang w:val="fr-CH"/>
        </w:rPr>
        <w:t>s</w:t>
      </w:r>
      <w:r w:rsidR="00863B8F">
        <w:rPr>
          <w:rFonts w:asciiTheme="minorHAnsi" w:hAnsiTheme="minorHAnsi" w:cs="Times New Roman"/>
          <w:lang w:val="fr-CH"/>
        </w:rPr>
        <w:t xml:space="preserve"> aux dizaines de milliers </w:t>
      </w:r>
      <w:r>
        <w:rPr>
          <w:rFonts w:asciiTheme="minorHAnsi" w:hAnsiTheme="minorHAnsi" w:cs="Times New Roman"/>
          <w:lang w:val="fr-CH"/>
        </w:rPr>
        <w:t xml:space="preserve">aux </w:t>
      </w:r>
      <w:r w:rsidR="00863B8F">
        <w:rPr>
          <w:rFonts w:asciiTheme="minorHAnsi" w:hAnsiTheme="minorHAnsi" w:cs="Times New Roman"/>
          <w:lang w:val="fr-CH"/>
        </w:rPr>
        <w:t xml:space="preserve">Etats-Unis.  </w:t>
      </w:r>
    </w:p>
    <w:p w14:paraId="3E5FC975" w14:textId="77777777" w:rsidR="00863B8F" w:rsidRDefault="00863B8F" w:rsidP="00B336C6">
      <w:pPr>
        <w:pStyle w:val="Normal1"/>
        <w:spacing w:line="240" w:lineRule="auto"/>
        <w:jc w:val="both"/>
        <w:rPr>
          <w:rFonts w:asciiTheme="minorHAnsi" w:hAnsiTheme="minorHAnsi" w:cs="Times New Roman"/>
          <w:lang w:val="fr-CH"/>
        </w:rPr>
      </w:pPr>
    </w:p>
    <w:p w14:paraId="7BC070DB" w14:textId="77777777" w:rsidR="00F15672" w:rsidRDefault="00F15672" w:rsidP="00B336C6">
      <w:pPr>
        <w:pStyle w:val="Normal1"/>
        <w:spacing w:line="240" w:lineRule="auto"/>
        <w:jc w:val="both"/>
        <w:rPr>
          <w:rFonts w:asciiTheme="minorHAnsi" w:hAnsiTheme="minorHAnsi" w:cs="Times New Roman"/>
          <w:b/>
          <w:lang w:val="fr-CH"/>
        </w:rPr>
      </w:pPr>
      <w:r>
        <w:rPr>
          <w:rFonts w:asciiTheme="minorHAnsi" w:hAnsiTheme="minorHAnsi" w:cs="Times New Roman"/>
          <w:lang w:val="fr-CH"/>
        </w:rPr>
        <w:t>Les membres de l’OMC ont décidé de trouver une solution permanente aux programmes de stockage public d’ici décembre de cette année. Malheureusement les positions de</w:t>
      </w:r>
      <w:r w:rsidR="00A808A3">
        <w:rPr>
          <w:rFonts w:asciiTheme="minorHAnsi" w:hAnsiTheme="minorHAnsi" w:cs="Times New Roman"/>
          <w:lang w:val="fr-CH"/>
        </w:rPr>
        <w:t>s</w:t>
      </w:r>
      <w:r>
        <w:rPr>
          <w:rFonts w:asciiTheme="minorHAnsi" w:hAnsiTheme="minorHAnsi" w:cs="Times New Roman"/>
          <w:lang w:val="fr-CH"/>
        </w:rPr>
        <w:t xml:space="preserve"> pays qui représentent les grands exportateurs d’agrobusiness n’ont pas changé. </w:t>
      </w:r>
      <w:r>
        <w:rPr>
          <w:rFonts w:asciiTheme="minorHAnsi" w:hAnsiTheme="minorHAnsi" w:cs="Times New Roman"/>
          <w:b/>
          <w:lang w:val="fr-CH"/>
        </w:rPr>
        <w:t xml:space="preserve">A Buenos Aires les membres de l’OMC doivent trouver une solution positive à la question du stockage public qui permette à tous les pays en développement de mettre en œuvre </w:t>
      </w:r>
      <w:r w:rsidR="003E5EC5">
        <w:rPr>
          <w:rFonts w:asciiTheme="minorHAnsi" w:hAnsiTheme="minorHAnsi" w:cs="Times New Roman"/>
          <w:b/>
          <w:lang w:val="fr-CH"/>
        </w:rPr>
        <w:t xml:space="preserve">des programmes de sécurité alimentaire </w:t>
      </w:r>
      <w:proofErr w:type="gramStart"/>
      <w:r w:rsidR="003E5EC5">
        <w:rPr>
          <w:rFonts w:asciiTheme="minorHAnsi" w:hAnsiTheme="minorHAnsi" w:cs="Times New Roman"/>
          <w:b/>
          <w:lang w:val="fr-CH"/>
        </w:rPr>
        <w:t xml:space="preserve">sans </w:t>
      </w:r>
      <w:r w:rsidR="00124A3D">
        <w:rPr>
          <w:rFonts w:asciiTheme="minorHAnsi" w:hAnsiTheme="minorHAnsi" w:cs="Times New Roman"/>
          <w:b/>
          <w:lang w:val="fr-CH"/>
        </w:rPr>
        <w:t>restrictions</w:t>
      </w:r>
      <w:proofErr w:type="gramEnd"/>
      <w:r w:rsidR="003E5EC5">
        <w:rPr>
          <w:rFonts w:asciiTheme="minorHAnsi" w:hAnsiTheme="minorHAnsi" w:cs="Times New Roman"/>
          <w:b/>
          <w:lang w:val="fr-CH"/>
        </w:rPr>
        <w:t xml:space="preserve"> lourdes</w:t>
      </w:r>
      <w:r w:rsidR="00124A3D">
        <w:rPr>
          <w:rFonts w:asciiTheme="minorHAnsi" w:hAnsiTheme="minorHAnsi" w:cs="Times New Roman"/>
          <w:b/>
          <w:lang w:val="fr-CH"/>
        </w:rPr>
        <w:t xml:space="preserve">. Celles-ci </w:t>
      </w:r>
      <w:r w:rsidR="003E5EC5">
        <w:rPr>
          <w:rFonts w:asciiTheme="minorHAnsi" w:hAnsiTheme="minorHAnsi" w:cs="Times New Roman"/>
          <w:b/>
          <w:lang w:val="fr-CH"/>
        </w:rPr>
        <w:t xml:space="preserve">ne sont même pas demandées aux subventions des pays développés qui ont un effet de distorsion sur les échanges. </w:t>
      </w:r>
    </w:p>
    <w:p w14:paraId="20B67C38" w14:textId="77777777" w:rsidR="003E5EC5" w:rsidRDefault="003E5EC5" w:rsidP="00B336C6">
      <w:pPr>
        <w:pStyle w:val="Normal1"/>
        <w:spacing w:line="240" w:lineRule="auto"/>
        <w:jc w:val="both"/>
        <w:rPr>
          <w:rFonts w:asciiTheme="minorHAnsi" w:hAnsiTheme="minorHAnsi" w:cs="Times New Roman"/>
          <w:b/>
          <w:lang w:val="fr-CH"/>
        </w:rPr>
      </w:pPr>
    </w:p>
    <w:p w14:paraId="13C83129" w14:textId="77777777" w:rsidR="003E5EC5" w:rsidRDefault="003E5EC5" w:rsidP="00B336C6">
      <w:pPr>
        <w:pStyle w:val="Normal1"/>
        <w:spacing w:line="240" w:lineRule="auto"/>
        <w:jc w:val="both"/>
        <w:rPr>
          <w:rFonts w:asciiTheme="minorHAnsi" w:hAnsiTheme="minorHAnsi" w:cs="Times New Roman"/>
          <w:b/>
          <w:lang w:val="fr-CH"/>
        </w:rPr>
      </w:pPr>
      <w:r w:rsidRPr="003E5EC5">
        <w:rPr>
          <w:rFonts w:asciiTheme="minorHAnsi" w:hAnsiTheme="minorHAnsi" w:cs="Times New Roman"/>
          <w:b/>
          <w:lang w:val="fr-CH"/>
        </w:rPr>
        <w:t>Plus de flexibilité pour l</w:t>
      </w:r>
      <w:r>
        <w:rPr>
          <w:rFonts w:asciiTheme="minorHAnsi" w:hAnsiTheme="minorHAnsi" w:cs="Times New Roman"/>
          <w:b/>
          <w:lang w:val="fr-CH"/>
        </w:rPr>
        <w:t>es politiques de développement</w:t>
      </w:r>
    </w:p>
    <w:p w14:paraId="0212A9F2" w14:textId="77777777" w:rsidR="003E5EC5" w:rsidRDefault="003E5EC5" w:rsidP="00B336C6">
      <w:pPr>
        <w:pStyle w:val="Normal1"/>
        <w:spacing w:line="240" w:lineRule="auto"/>
        <w:jc w:val="both"/>
        <w:rPr>
          <w:rFonts w:asciiTheme="minorHAnsi" w:hAnsiTheme="minorHAnsi" w:cs="Times New Roman"/>
          <w:b/>
          <w:lang w:val="fr-CH"/>
        </w:rPr>
      </w:pPr>
    </w:p>
    <w:p w14:paraId="210E574C" w14:textId="77777777" w:rsidR="003E5EC5" w:rsidRDefault="003E5EC5" w:rsidP="00B336C6">
      <w:pPr>
        <w:pStyle w:val="Normal1"/>
        <w:spacing w:line="240" w:lineRule="auto"/>
        <w:jc w:val="both"/>
        <w:rPr>
          <w:rFonts w:asciiTheme="minorHAnsi" w:hAnsiTheme="minorHAnsi" w:cs="Times New Roman"/>
          <w:lang w:val="fr-CH"/>
        </w:rPr>
      </w:pPr>
      <w:r>
        <w:rPr>
          <w:rFonts w:asciiTheme="minorHAnsi" w:hAnsiTheme="minorHAnsi" w:cs="Times New Roman"/>
          <w:lang w:val="fr-CH"/>
        </w:rPr>
        <w:t xml:space="preserve">En plus de transformer les règles internationales qui régissent le commerce agricole, les pays en développement demandent depuis longtemps d’autres changements à l’OMC pour augmenter leur flexibilité de mettre en œuvre des politiques </w:t>
      </w:r>
      <w:r w:rsidR="00C7690C">
        <w:rPr>
          <w:rFonts w:asciiTheme="minorHAnsi" w:hAnsiTheme="minorHAnsi" w:cs="Times New Roman"/>
          <w:lang w:val="fr-CH"/>
        </w:rPr>
        <w:t>pro-développement</w:t>
      </w:r>
      <w:r>
        <w:rPr>
          <w:rFonts w:asciiTheme="minorHAnsi" w:hAnsiTheme="minorHAnsi" w:cs="Times New Roman"/>
          <w:lang w:val="fr-CH"/>
        </w:rPr>
        <w:t xml:space="preserve">. </w:t>
      </w:r>
    </w:p>
    <w:p w14:paraId="3E37C2CC" w14:textId="77777777" w:rsidR="003E5EC5" w:rsidRDefault="003E5EC5" w:rsidP="00B336C6">
      <w:pPr>
        <w:pStyle w:val="Normal1"/>
        <w:spacing w:line="240" w:lineRule="auto"/>
        <w:jc w:val="both"/>
        <w:rPr>
          <w:rFonts w:asciiTheme="minorHAnsi" w:hAnsiTheme="minorHAnsi" w:cs="Times New Roman"/>
          <w:lang w:val="fr-CH"/>
        </w:rPr>
      </w:pPr>
    </w:p>
    <w:p w14:paraId="7C38E1D3" w14:textId="77777777" w:rsidR="00041E58" w:rsidRPr="00C7690C" w:rsidRDefault="003E5EC5" w:rsidP="00041E58">
      <w:pPr>
        <w:pStyle w:val="Normal1"/>
        <w:spacing w:line="240" w:lineRule="auto"/>
        <w:jc w:val="both"/>
        <w:rPr>
          <w:rFonts w:asciiTheme="minorHAnsi" w:hAnsiTheme="minorHAnsi" w:cs="Times New Roman"/>
          <w:b/>
          <w:lang w:val="fr-CH"/>
        </w:rPr>
      </w:pPr>
      <w:r>
        <w:rPr>
          <w:rFonts w:asciiTheme="minorHAnsi" w:hAnsiTheme="minorHAnsi" w:cs="Times New Roman"/>
          <w:lang w:val="fr-CH"/>
        </w:rPr>
        <w:t xml:space="preserve">Le groupe des 90 pays en développement a fait des propositions concrètes pour changer les règles actuelles de l’OMC qui enlèveraient quelques contraintes </w:t>
      </w:r>
      <w:r w:rsidR="00C7690C">
        <w:rPr>
          <w:rFonts w:asciiTheme="minorHAnsi" w:hAnsiTheme="minorHAnsi" w:cs="Times New Roman"/>
          <w:lang w:val="fr-CH"/>
        </w:rPr>
        <w:t>a</w:t>
      </w:r>
      <w:r>
        <w:rPr>
          <w:rFonts w:asciiTheme="minorHAnsi" w:hAnsiTheme="minorHAnsi" w:cs="Times New Roman"/>
          <w:lang w:val="fr-CH"/>
        </w:rPr>
        <w:t xml:space="preserve">ux politiques nationales pro-développement. Beaucoup d’entre elles sont des versions mises à jour de « l’agenda de mise en œuvre » qui </w:t>
      </w:r>
      <w:r w:rsidR="00C7690C">
        <w:rPr>
          <w:rFonts w:asciiTheme="minorHAnsi" w:hAnsiTheme="minorHAnsi" w:cs="Times New Roman"/>
          <w:lang w:val="fr-CH"/>
        </w:rPr>
        <w:t xml:space="preserve">constitue la </w:t>
      </w:r>
      <w:r>
        <w:rPr>
          <w:rFonts w:asciiTheme="minorHAnsi" w:hAnsiTheme="minorHAnsi" w:cs="Times New Roman"/>
          <w:lang w:val="fr-CH"/>
        </w:rPr>
        <w:t xml:space="preserve">base des critiques des pays en développement à l’OMC depuis sa création. Elles comprennent, entre autres, des changements pour permettre aux pays en développement de promouvoir les capacités nationales de </w:t>
      </w:r>
      <w:r w:rsidR="00041E58">
        <w:rPr>
          <w:rFonts w:asciiTheme="minorHAnsi" w:hAnsiTheme="minorHAnsi" w:cs="Times New Roman"/>
          <w:lang w:val="fr-CH"/>
        </w:rPr>
        <w:t xml:space="preserve">fabrication, stimuler le transfert de technologies, promouvoir l’accès aux médicaments abordables et sauvegarder l’intégration régionale. Beaucoup de ces propositions font écho aux </w:t>
      </w:r>
      <w:r w:rsidR="00C7690C">
        <w:rPr>
          <w:rFonts w:asciiTheme="minorHAnsi" w:hAnsiTheme="minorHAnsi" w:cs="Times New Roman"/>
          <w:lang w:val="fr-CH"/>
        </w:rPr>
        <w:t xml:space="preserve">requêtes </w:t>
      </w:r>
      <w:r w:rsidR="00041E58">
        <w:rPr>
          <w:rFonts w:asciiTheme="minorHAnsi" w:hAnsiTheme="minorHAnsi" w:cs="Times New Roman"/>
          <w:lang w:val="fr-CH"/>
        </w:rPr>
        <w:t xml:space="preserve">de la société civile inscrites dans </w:t>
      </w:r>
      <w:hyperlink r:id="rId9" w:history="1">
        <w:r w:rsidR="00041E58" w:rsidRPr="00C7690C">
          <w:rPr>
            <w:rStyle w:val="Hyperlink"/>
            <w:rFonts w:asciiTheme="minorHAnsi" w:hAnsiTheme="minorHAnsi" w:cs="Times New Roman"/>
            <w:lang w:val="fr-CH"/>
          </w:rPr>
          <w:t xml:space="preserve">la déclaration de renversement </w:t>
        </w:r>
      </w:hyperlink>
      <w:r w:rsidR="00041E58" w:rsidRPr="00C7690C">
        <w:rPr>
          <w:rFonts w:asciiTheme="minorHAnsi" w:hAnsiTheme="minorHAnsi"/>
          <w:lang w:val="fr-CH"/>
        </w:rPr>
        <w:t xml:space="preserve"> d’OWINFS</w:t>
      </w:r>
      <w:r w:rsidR="00F8129F" w:rsidRPr="00C7690C">
        <w:rPr>
          <w:rFonts w:asciiTheme="minorHAnsi" w:hAnsiTheme="minorHAnsi" w:cs="Times New Roman"/>
          <w:lang w:val="fr-CH"/>
        </w:rPr>
        <w:t xml:space="preserve">. </w:t>
      </w:r>
      <w:r w:rsidR="00041E58" w:rsidRPr="00C7690C">
        <w:rPr>
          <w:rFonts w:asciiTheme="minorHAnsi" w:hAnsiTheme="minorHAnsi" w:cs="Times New Roman"/>
          <w:b/>
          <w:lang w:val="fr-CH"/>
        </w:rPr>
        <w:t xml:space="preserve">Il faudrait accepter les propositions du G90 à la ministérielle de Buenos Aires telles qu’elles sont – sans </w:t>
      </w:r>
      <w:r w:rsidR="00C7690C" w:rsidRPr="00C7690C">
        <w:rPr>
          <w:rFonts w:asciiTheme="minorHAnsi" w:hAnsiTheme="minorHAnsi" w:cs="Times New Roman"/>
          <w:b/>
          <w:lang w:val="fr-CH"/>
        </w:rPr>
        <w:t xml:space="preserve">les conditionner </w:t>
      </w:r>
      <w:r w:rsidR="00041E58" w:rsidRPr="00C7690C">
        <w:rPr>
          <w:rFonts w:asciiTheme="minorHAnsi" w:hAnsiTheme="minorHAnsi" w:cs="Times New Roman"/>
          <w:b/>
          <w:lang w:val="fr-CH"/>
        </w:rPr>
        <w:t xml:space="preserve">à d’autres concessions en matière d’accès au marché de la part des pays en développement. </w:t>
      </w:r>
    </w:p>
    <w:p w14:paraId="2D3C5410" w14:textId="77777777" w:rsidR="00041E58" w:rsidRPr="00C7690C" w:rsidRDefault="00041E58" w:rsidP="00041E58">
      <w:pPr>
        <w:pStyle w:val="Normal1"/>
        <w:spacing w:line="240" w:lineRule="auto"/>
        <w:jc w:val="both"/>
        <w:rPr>
          <w:rFonts w:asciiTheme="minorHAnsi" w:hAnsiTheme="minorHAnsi" w:cs="Times New Roman"/>
          <w:b/>
          <w:lang w:val="fr-CH"/>
        </w:rPr>
      </w:pPr>
    </w:p>
    <w:p w14:paraId="7E71BFC0" w14:textId="77777777" w:rsidR="005870C3" w:rsidRPr="00E12577" w:rsidRDefault="005870C3" w:rsidP="004A15B5">
      <w:pPr>
        <w:jc w:val="both"/>
        <w:rPr>
          <w:rFonts w:cs="Times New Roman"/>
          <w:b/>
          <w:sz w:val="22"/>
          <w:szCs w:val="22"/>
          <w:lang w:val="fr-CH"/>
        </w:rPr>
      </w:pPr>
      <w:r w:rsidRPr="005870C3">
        <w:rPr>
          <w:rFonts w:cs="Times New Roman"/>
          <w:sz w:val="22"/>
          <w:szCs w:val="22"/>
          <w:lang w:val="fr-CH"/>
        </w:rPr>
        <w:t>Même dans un domaine o</w:t>
      </w:r>
      <w:r w:rsidR="004A15B5">
        <w:rPr>
          <w:rFonts w:cs="Times New Roman"/>
          <w:sz w:val="22"/>
          <w:szCs w:val="22"/>
          <w:lang w:val="fr-CH"/>
        </w:rPr>
        <w:t>ù tous les membres de l’OMC devraient pouvoir se mettre d’accord – assurer des bénéfices pour les Pays les moins avancés (PMA)</w:t>
      </w:r>
      <w:r w:rsidR="00C7690C">
        <w:rPr>
          <w:rFonts w:cs="Times New Roman"/>
          <w:sz w:val="22"/>
          <w:szCs w:val="22"/>
          <w:lang w:val="fr-CH"/>
        </w:rPr>
        <w:t>,</w:t>
      </w:r>
      <w:r w:rsidR="004A15B5">
        <w:rPr>
          <w:rFonts w:cs="Times New Roman"/>
          <w:sz w:val="22"/>
          <w:szCs w:val="22"/>
          <w:lang w:val="fr-CH"/>
        </w:rPr>
        <w:t xml:space="preserve"> il n’y a pas encore de consensus. Bien que ce fût un mandat prioritaire, le petit paquet pour les PMA adopté à la ministérielle de Bali en 2013 n’est pas encore opérationnel. Il inclut l’accès au marché </w:t>
      </w:r>
      <w:r w:rsidR="00A808A3">
        <w:rPr>
          <w:rFonts w:cs="Times New Roman"/>
          <w:sz w:val="22"/>
          <w:szCs w:val="22"/>
          <w:lang w:val="fr-CH"/>
        </w:rPr>
        <w:t xml:space="preserve">à </w:t>
      </w:r>
      <w:r w:rsidR="004A15B5">
        <w:rPr>
          <w:rFonts w:cs="Times New Roman"/>
          <w:sz w:val="22"/>
          <w:szCs w:val="22"/>
          <w:lang w:val="fr-CH"/>
        </w:rPr>
        <w:t xml:space="preserve">100% hors contingent et droits de douane pour les exportations des PMA ; la simplification des règles d’origine qui définissent quelle part de la valeur d’un produit doit être fabriquée dans le pays pour </w:t>
      </w:r>
      <w:r w:rsidR="00C7690C">
        <w:rPr>
          <w:rFonts w:cs="Times New Roman"/>
          <w:sz w:val="22"/>
          <w:szCs w:val="22"/>
          <w:lang w:val="fr-CH"/>
        </w:rPr>
        <w:t xml:space="preserve">pouvoir bénéficier de </w:t>
      </w:r>
      <w:r w:rsidR="004A15B5">
        <w:rPr>
          <w:rFonts w:cs="Times New Roman"/>
          <w:sz w:val="22"/>
          <w:szCs w:val="22"/>
          <w:lang w:val="fr-CH"/>
        </w:rPr>
        <w:t>réduction</w:t>
      </w:r>
      <w:r w:rsidR="00C7690C">
        <w:rPr>
          <w:rFonts w:cs="Times New Roman"/>
          <w:sz w:val="22"/>
          <w:szCs w:val="22"/>
          <w:lang w:val="fr-CH"/>
        </w:rPr>
        <w:t>s</w:t>
      </w:r>
      <w:r w:rsidR="004A15B5">
        <w:rPr>
          <w:rFonts w:cs="Times New Roman"/>
          <w:sz w:val="22"/>
          <w:szCs w:val="22"/>
          <w:lang w:val="fr-CH"/>
        </w:rPr>
        <w:t xml:space="preserve"> des droits de douane ; et des engagements contraignants </w:t>
      </w:r>
      <w:r w:rsidR="00E12577">
        <w:rPr>
          <w:rFonts w:cs="Times New Roman"/>
          <w:sz w:val="22"/>
          <w:szCs w:val="22"/>
          <w:lang w:val="fr-CH"/>
        </w:rPr>
        <w:t>pour la dérogation sur les services des PMA (qui permet aux pays développés d</w:t>
      </w:r>
      <w:r w:rsidR="00C7690C">
        <w:rPr>
          <w:rFonts w:cs="Times New Roman"/>
          <w:sz w:val="22"/>
          <w:szCs w:val="22"/>
          <w:lang w:val="fr-CH"/>
        </w:rPr>
        <w:t xml:space="preserve">’offrir </w:t>
      </w:r>
      <w:r w:rsidR="00E12577">
        <w:rPr>
          <w:rFonts w:cs="Times New Roman"/>
          <w:sz w:val="22"/>
          <w:szCs w:val="22"/>
          <w:lang w:val="fr-CH"/>
        </w:rPr>
        <w:t xml:space="preserve">l’accès au marché aux services des PMA sans offrir un accès réciproque à d’autres pays – une « flexibilité » qui s’est révélée presque impossible à utiliser). Il inclut aussi des réductions des subventions que les Etats-Unis et l’UE </w:t>
      </w:r>
      <w:r w:rsidR="00FC2C61">
        <w:rPr>
          <w:rFonts w:cs="Times New Roman"/>
          <w:sz w:val="22"/>
          <w:szCs w:val="22"/>
          <w:lang w:val="fr-CH"/>
        </w:rPr>
        <w:t xml:space="preserve">octroient </w:t>
      </w:r>
      <w:r w:rsidR="00E12577">
        <w:rPr>
          <w:rFonts w:cs="Times New Roman"/>
          <w:sz w:val="22"/>
          <w:szCs w:val="22"/>
          <w:lang w:val="fr-CH"/>
        </w:rPr>
        <w:t xml:space="preserve"> aux producteurs de coton – qui en enrichissent quelques milliers </w:t>
      </w:r>
      <w:r w:rsidR="00C7690C">
        <w:rPr>
          <w:rFonts w:cs="Times New Roman"/>
          <w:sz w:val="22"/>
          <w:szCs w:val="22"/>
          <w:lang w:val="fr-CH"/>
        </w:rPr>
        <w:t>dans ces pays</w:t>
      </w:r>
      <w:r w:rsidR="00E12577">
        <w:rPr>
          <w:rFonts w:cs="Times New Roman"/>
          <w:sz w:val="22"/>
          <w:szCs w:val="22"/>
          <w:lang w:val="fr-CH"/>
        </w:rPr>
        <w:t xml:space="preserve">, mais ont décimé injustement la production de centaines de milliers de producteurs de coton en Afrique. </w:t>
      </w:r>
      <w:r w:rsidR="00E12577">
        <w:rPr>
          <w:rFonts w:cs="Times New Roman"/>
          <w:b/>
          <w:sz w:val="22"/>
          <w:szCs w:val="22"/>
          <w:lang w:val="fr-CH"/>
        </w:rPr>
        <w:t>Ce modeste paquet pour les PMA doit être renforcé et rendu opérationnel d’ici la CM11.</w:t>
      </w:r>
    </w:p>
    <w:p w14:paraId="6CD63610" w14:textId="77777777" w:rsidR="004A15B5" w:rsidRPr="005870C3" w:rsidRDefault="004A15B5" w:rsidP="00F8129F">
      <w:pPr>
        <w:rPr>
          <w:rFonts w:cs="Times New Roman"/>
          <w:sz w:val="22"/>
          <w:szCs w:val="22"/>
          <w:lang w:val="fr-CH"/>
        </w:rPr>
      </w:pPr>
    </w:p>
    <w:p w14:paraId="70E4F3D4" w14:textId="77777777" w:rsidR="0089379F" w:rsidRDefault="00F81FC7" w:rsidP="00F81FC7">
      <w:pPr>
        <w:jc w:val="both"/>
        <w:rPr>
          <w:rFonts w:cs="Times New Roman"/>
          <w:sz w:val="22"/>
          <w:szCs w:val="22"/>
          <w:lang w:val="fr-CH"/>
        </w:rPr>
      </w:pPr>
      <w:r w:rsidRPr="00F81FC7">
        <w:rPr>
          <w:rFonts w:cs="Times New Roman"/>
          <w:sz w:val="22"/>
          <w:szCs w:val="22"/>
          <w:lang w:val="fr-CH"/>
        </w:rPr>
        <w:t>Il y a beaucoup d’enjeu</w:t>
      </w:r>
      <w:r>
        <w:rPr>
          <w:rFonts w:cs="Times New Roman"/>
          <w:sz w:val="22"/>
          <w:szCs w:val="22"/>
          <w:lang w:val="fr-CH"/>
        </w:rPr>
        <w:t xml:space="preserve">x en décembre à Buenos Aires. Nous croyons dans un système commercial multilatéral démocratique, transparent et durable et nous ne voulons pas voir l’OMC s’éloigner encore plus de cet idéal. La pratique secrète et anti-démocratique de négocier derrière des portes fermées avec seulement quelques membres puissants </w:t>
      </w:r>
      <w:r>
        <w:rPr>
          <w:rFonts w:cs="Times New Roman"/>
          <w:sz w:val="22"/>
          <w:szCs w:val="22"/>
          <w:lang w:val="fr-CH"/>
        </w:rPr>
        <w:lastRenderedPageBreak/>
        <w:t xml:space="preserve">et ensuite mettre une forte pression sur les pays en développement pour qu’ils acceptent un autre mauvais accord, qui a caractérisé l’OMC depuis sa création, mais </w:t>
      </w:r>
      <w:r w:rsidR="00FC2C61">
        <w:rPr>
          <w:rFonts w:cs="Times New Roman"/>
          <w:sz w:val="22"/>
          <w:szCs w:val="22"/>
          <w:lang w:val="fr-CH"/>
        </w:rPr>
        <w:t xml:space="preserve">s’est accentuée encore </w:t>
      </w:r>
      <w:r w:rsidR="00B375DB">
        <w:rPr>
          <w:rFonts w:cs="Times New Roman"/>
          <w:sz w:val="22"/>
          <w:szCs w:val="22"/>
          <w:lang w:val="fr-CH"/>
        </w:rPr>
        <w:t xml:space="preserve">lors des </w:t>
      </w:r>
      <w:r>
        <w:rPr>
          <w:rFonts w:cs="Times New Roman"/>
          <w:sz w:val="22"/>
          <w:szCs w:val="22"/>
          <w:lang w:val="fr-CH"/>
        </w:rPr>
        <w:t xml:space="preserve">deux dernières ministérielles, doit être abandonné au profit d’un processus transparent et guidé par les membres qui mène à des résultats cohérents avec les Objectifs de développement durable adoptés au niveau multilatéral. </w:t>
      </w:r>
    </w:p>
    <w:p w14:paraId="1A6AFB23" w14:textId="77777777" w:rsidR="00F81FC7" w:rsidRPr="00F81FC7" w:rsidRDefault="00F81FC7" w:rsidP="00F8129F">
      <w:pPr>
        <w:rPr>
          <w:rFonts w:cs="Times New Roman"/>
          <w:sz w:val="22"/>
          <w:szCs w:val="22"/>
          <w:lang w:val="fr-CH"/>
        </w:rPr>
      </w:pPr>
    </w:p>
    <w:p w14:paraId="15312F94" w14:textId="77777777" w:rsidR="00224013" w:rsidRDefault="00BC1183" w:rsidP="00BC1183">
      <w:pPr>
        <w:jc w:val="both"/>
        <w:rPr>
          <w:sz w:val="22"/>
          <w:szCs w:val="22"/>
          <w:lang w:val="fr-CH"/>
        </w:rPr>
      </w:pPr>
      <w:r w:rsidRPr="00BC1183">
        <w:rPr>
          <w:sz w:val="22"/>
          <w:szCs w:val="22"/>
          <w:lang w:val="fr-CH"/>
        </w:rPr>
        <w:t>Les membres accepteront-ils un</w:t>
      </w:r>
      <w:r>
        <w:rPr>
          <w:sz w:val="22"/>
          <w:szCs w:val="22"/>
          <w:lang w:val="fr-CH"/>
        </w:rPr>
        <w:t xml:space="preserve"> nouveau mandat nocif sur le commerce électronique et de nouvelles règles qui limitent la supervision démocratique des réglementations des services ? Et de nouvelles règles sur les subventions aux pêcheries qui </w:t>
      </w:r>
      <w:r w:rsidR="00B375DB">
        <w:rPr>
          <w:sz w:val="22"/>
          <w:szCs w:val="22"/>
          <w:lang w:val="fr-CH"/>
        </w:rPr>
        <w:t xml:space="preserve">finiront </w:t>
      </w:r>
      <w:r>
        <w:rPr>
          <w:sz w:val="22"/>
          <w:szCs w:val="22"/>
          <w:lang w:val="fr-CH"/>
        </w:rPr>
        <w:t xml:space="preserve">par nuire aux pêcheurs pauvres ? Ou les membres vont-ils agir dans l’intérêt de leurs citoyens et changer de cap à l’OMC, enlever </w:t>
      </w:r>
      <w:r w:rsidR="00B375DB">
        <w:rPr>
          <w:sz w:val="22"/>
          <w:szCs w:val="22"/>
          <w:lang w:val="fr-CH"/>
        </w:rPr>
        <w:t>s</w:t>
      </w:r>
      <w:r>
        <w:rPr>
          <w:sz w:val="22"/>
          <w:szCs w:val="22"/>
          <w:lang w:val="fr-CH"/>
        </w:rPr>
        <w:t xml:space="preserve">es contraintes </w:t>
      </w:r>
      <w:r w:rsidR="00B375DB">
        <w:rPr>
          <w:sz w:val="22"/>
          <w:szCs w:val="22"/>
          <w:lang w:val="fr-CH"/>
        </w:rPr>
        <w:t>a</w:t>
      </w:r>
      <w:r>
        <w:rPr>
          <w:sz w:val="22"/>
          <w:szCs w:val="22"/>
          <w:lang w:val="fr-CH"/>
        </w:rPr>
        <w:t xml:space="preserve">ux politiques intérieures qui promeuvent la sécurité alimentaire et le développement et soutenir les efforts des PMA </w:t>
      </w:r>
      <w:r w:rsidR="00B375DB">
        <w:rPr>
          <w:sz w:val="22"/>
          <w:szCs w:val="22"/>
          <w:lang w:val="fr-CH"/>
        </w:rPr>
        <w:t xml:space="preserve">pour </w:t>
      </w:r>
      <w:r>
        <w:rPr>
          <w:sz w:val="22"/>
          <w:szCs w:val="22"/>
          <w:lang w:val="fr-CH"/>
        </w:rPr>
        <w:t>augmenter leur part d</w:t>
      </w:r>
      <w:r w:rsidR="00B375DB">
        <w:rPr>
          <w:sz w:val="22"/>
          <w:szCs w:val="22"/>
          <w:lang w:val="fr-CH"/>
        </w:rPr>
        <w:t>ans le</w:t>
      </w:r>
      <w:r>
        <w:rPr>
          <w:sz w:val="22"/>
          <w:szCs w:val="22"/>
          <w:lang w:val="fr-CH"/>
        </w:rPr>
        <w:t xml:space="preserve"> commerce international ? </w:t>
      </w:r>
    </w:p>
    <w:p w14:paraId="1AFB0DA5" w14:textId="77777777" w:rsidR="00BC1183" w:rsidRDefault="00BC1183" w:rsidP="00BC1183">
      <w:pPr>
        <w:jc w:val="both"/>
        <w:rPr>
          <w:sz w:val="22"/>
          <w:szCs w:val="22"/>
          <w:lang w:val="fr-CH"/>
        </w:rPr>
      </w:pPr>
    </w:p>
    <w:p w14:paraId="2C47345B" w14:textId="77777777" w:rsidR="00BC1183" w:rsidRDefault="00BC1183" w:rsidP="00BC1183">
      <w:pPr>
        <w:jc w:val="both"/>
        <w:rPr>
          <w:sz w:val="22"/>
          <w:szCs w:val="22"/>
          <w:lang w:val="fr-CH"/>
        </w:rPr>
      </w:pPr>
      <w:r>
        <w:rPr>
          <w:sz w:val="22"/>
          <w:szCs w:val="22"/>
          <w:lang w:val="fr-CH"/>
        </w:rPr>
        <w:t xml:space="preserve">Nous vous exhortons à prendre les bonnes décisions pour un résultat positif à la CM11 de Buenos Aires. </w:t>
      </w:r>
    </w:p>
    <w:p w14:paraId="42B0507D" w14:textId="77777777" w:rsidR="00BC1183" w:rsidRDefault="00BC1183" w:rsidP="00BC1183">
      <w:pPr>
        <w:jc w:val="both"/>
        <w:rPr>
          <w:sz w:val="22"/>
          <w:szCs w:val="22"/>
          <w:lang w:val="fr-CH"/>
        </w:rPr>
      </w:pPr>
    </w:p>
    <w:p w14:paraId="010CA58E" w14:textId="77777777" w:rsidR="00BC1183" w:rsidRDefault="00BC1183" w:rsidP="00BC1183">
      <w:pPr>
        <w:jc w:val="both"/>
        <w:rPr>
          <w:sz w:val="22"/>
          <w:szCs w:val="22"/>
          <w:lang w:val="fr-CH"/>
        </w:rPr>
      </w:pPr>
      <w:r>
        <w:rPr>
          <w:sz w:val="22"/>
          <w:szCs w:val="22"/>
          <w:lang w:val="fr-CH"/>
        </w:rPr>
        <w:t>Cordialement</w:t>
      </w:r>
    </w:p>
    <w:p w14:paraId="5D37D967" w14:textId="77777777" w:rsidR="00BC1183" w:rsidRDefault="00BC1183" w:rsidP="00BC1183">
      <w:pPr>
        <w:jc w:val="both"/>
        <w:rPr>
          <w:sz w:val="22"/>
          <w:szCs w:val="22"/>
          <w:lang w:val="fr-CH"/>
        </w:rPr>
      </w:pPr>
    </w:p>
    <w:p w14:paraId="429C33B0" w14:textId="77777777" w:rsidR="00BC1183" w:rsidRPr="00BC1183" w:rsidRDefault="00BC1183" w:rsidP="00BC1183">
      <w:pPr>
        <w:jc w:val="both"/>
        <w:rPr>
          <w:sz w:val="22"/>
          <w:szCs w:val="22"/>
          <w:lang w:val="fr-CH"/>
        </w:rPr>
      </w:pPr>
      <w:r>
        <w:rPr>
          <w:sz w:val="22"/>
          <w:szCs w:val="22"/>
          <w:lang w:val="fr-CH"/>
        </w:rPr>
        <w:t>Signataires initiaux</w:t>
      </w:r>
    </w:p>
    <w:p w14:paraId="7D77C21F" w14:textId="77777777" w:rsidR="00F81FC7" w:rsidRPr="00BC1183" w:rsidRDefault="00F81FC7" w:rsidP="00F8129F">
      <w:pPr>
        <w:rPr>
          <w:sz w:val="22"/>
          <w:szCs w:val="22"/>
          <w:lang w:val="fr-CH"/>
        </w:rPr>
      </w:pPr>
    </w:p>
    <w:p w14:paraId="765F21A2" w14:textId="77777777" w:rsidR="00224013" w:rsidRPr="00BC1183" w:rsidRDefault="00224013" w:rsidP="00F8129F">
      <w:pPr>
        <w:rPr>
          <w:rFonts w:cs="Times New Roman"/>
          <w:sz w:val="22"/>
          <w:szCs w:val="22"/>
          <w:lang w:val="fr-CH"/>
        </w:rPr>
      </w:pPr>
    </w:p>
    <w:p w14:paraId="3A9A4627" w14:textId="77777777" w:rsidR="00E32C11" w:rsidRPr="00E32C11" w:rsidRDefault="00BC1183" w:rsidP="00F8129F">
      <w:pPr>
        <w:rPr>
          <w:rFonts w:cs="Times New Roman"/>
          <w:i/>
          <w:sz w:val="22"/>
          <w:szCs w:val="22"/>
          <w:lang w:val="es-VE"/>
        </w:rPr>
      </w:pPr>
      <w:r>
        <w:rPr>
          <w:rFonts w:cs="Times New Roman"/>
          <w:sz w:val="22"/>
          <w:szCs w:val="22"/>
          <w:lang w:val="es-VE"/>
        </w:rPr>
        <w:t>Réseaux internationaux et régionaux</w:t>
      </w:r>
    </w:p>
    <w:p w14:paraId="4B821B36" w14:textId="77777777" w:rsidR="00E32C11" w:rsidRDefault="00E32C11" w:rsidP="00943481">
      <w:pPr>
        <w:pStyle w:val="NormalWeb"/>
        <w:rPr>
          <w:rStyle w:val="Strong"/>
          <w:rFonts w:ascii="Helvetica" w:hAnsi="Helvetica" w:cs="Helvetica"/>
          <w:b w:val="0"/>
          <w:sz w:val="20"/>
          <w:szCs w:val="20"/>
          <w:lang w:val="es-VE"/>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3249"/>
        <w:gridCol w:w="5916"/>
      </w:tblGrid>
      <w:tr w:rsidR="00C0598B" w:rsidRPr="00CA49D5" w14:paraId="286DDB8E" w14:textId="77777777" w:rsidTr="00A64E9B">
        <w:trPr>
          <w:trHeight w:val="1160"/>
        </w:trPr>
        <w:tc>
          <w:tcPr>
            <w:tcW w:w="549" w:type="dxa"/>
            <w:noWrap/>
            <w:hideMark/>
          </w:tcPr>
          <w:p w14:paraId="009864E1" w14:textId="77777777" w:rsidR="00C0598B" w:rsidRPr="00BC1183" w:rsidRDefault="00C0598B" w:rsidP="00A64E9B">
            <w:pPr>
              <w:rPr>
                <w:rFonts w:ascii="Calibri" w:hAnsi="Calibri"/>
                <w:color w:val="000000" w:themeColor="text1"/>
                <w:sz w:val="22"/>
                <w:szCs w:val="22"/>
                <w:lang w:val="fr-CH"/>
              </w:rPr>
            </w:pPr>
          </w:p>
        </w:tc>
        <w:tc>
          <w:tcPr>
            <w:tcW w:w="3249" w:type="dxa"/>
            <w:noWrap/>
            <w:hideMark/>
          </w:tcPr>
          <w:p w14:paraId="7162AC1B" w14:textId="1833B31A" w:rsidR="00C0598B" w:rsidRPr="00CA49D5" w:rsidRDefault="00C0598B" w:rsidP="00A64E9B">
            <w:pPr>
              <w:rPr>
                <w:rFonts w:ascii="Calibri" w:hAnsi="Calibri"/>
                <w:color w:val="000000" w:themeColor="text1"/>
                <w:sz w:val="22"/>
                <w:szCs w:val="22"/>
                <w:lang w:val="fr-CH"/>
              </w:rPr>
            </w:pPr>
            <w:r w:rsidRPr="00AD221F">
              <w:rPr>
                <w:rFonts w:ascii="Calibri" w:hAnsi="Calibri" w:cs="Times New Roman"/>
                <w:sz w:val="22"/>
                <w:szCs w:val="22"/>
              </w:rPr>
              <w:t>Arab NGO Network for Development (ANND)</w:t>
            </w:r>
          </w:p>
        </w:tc>
        <w:tc>
          <w:tcPr>
            <w:tcW w:w="5916" w:type="dxa"/>
            <w:hideMark/>
          </w:tcPr>
          <w:p w14:paraId="717173A1" w14:textId="421D208A" w:rsidR="00C0598B" w:rsidRPr="00CA49D5" w:rsidRDefault="00C0598B" w:rsidP="00A64E9B">
            <w:pPr>
              <w:rPr>
                <w:rFonts w:ascii="Calibri" w:hAnsi="Calibri"/>
                <w:color w:val="000000" w:themeColor="text1"/>
                <w:sz w:val="22"/>
                <w:szCs w:val="22"/>
                <w:lang w:val="fr-CH"/>
              </w:rPr>
            </w:pPr>
            <w:r w:rsidRPr="00AD221F">
              <w:rPr>
                <w:rFonts w:ascii="Calibri" w:hAnsi="Calibri" w:cs="Times New Roman"/>
                <w:sz w:val="22"/>
                <w:szCs w:val="22"/>
              </w:rPr>
              <w:t>ANND is a regional network, working in 12 Arab countries with seven national networks (with an extended membership of 200 CSOs from different backgrounds) and 23 NGO members</w:t>
            </w:r>
          </w:p>
        </w:tc>
      </w:tr>
      <w:tr w:rsidR="000074A3" w:rsidRPr="00CA49D5" w14:paraId="297B66B7" w14:textId="77777777" w:rsidTr="004A35FF">
        <w:trPr>
          <w:trHeight w:val="1160"/>
        </w:trPr>
        <w:tc>
          <w:tcPr>
            <w:tcW w:w="549" w:type="dxa"/>
            <w:noWrap/>
            <w:hideMark/>
          </w:tcPr>
          <w:p w14:paraId="595AC6AD" w14:textId="77777777" w:rsidR="000074A3" w:rsidRPr="00BC1183" w:rsidRDefault="000074A3" w:rsidP="004A35FF">
            <w:pPr>
              <w:rPr>
                <w:rFonts w:ascii="Calibri" w:hAnsi="Calibri"/>
                <w:color w:val="000000" w:themeColor="text1"/>
                <w:sz w:val="22"/>
                <w:szCs w:val="22"/>
                <w:lang w:val="fr-CH"/>
              </w:rPr>
            </w:pPr>
          </w:p>
        </w:tc>
        <w:tc>
          <w:tcPr>
            <w:tcW w:w="3249" w:type="dxa"/>
            <w:noWrap/>
            <w:hideMark/>
          </w:tcPr>
          <w:p w14:paraId="0A84AF72" w14:textId="77777777" w:rsidR="000074A3" w:rsidRPr="00CA49D5" w:rsidRDefault="00CA49D5" w:rsidP="004A35FF">
            <w:pPr>
              <w:rPr>
                <w:rFonts w:ascii="Calibri" w:hAnsi="Calibri"/>
                <w:color w:val="000000" w:themeColor="text1"/>
                <w:sz w:val="22"/>
                <w:szCs w:val="22"/>
                <w:lang w:val="fr-CH"/>
              </w:rPr>
            </w:pPr>
            <w:r w:rsidRPr="00CA49D5">
              <w:rPr>
                <w:rFonts w:ascii="Arial" w:hAnsi="Arial" w:cs="Arial"/>
                <w:color w:val="222222"/>
                <w:sz w:val="20"/>
                <w:szCs w:val="20"/>
                <w:shd w:val="clear" w:color="auto" w:fill="FFFFFF"/>
                <w:lang w:val="fr-CH"/>
              </w:rPr>
              <w:t>L'</w:t>
            </w:r>
            <w:r w:rsidRPr="00CA49D5">
              <w:rPr>
                <w:rFonts w:ascii="Arial" w:hAnsi="Arial" w:cs="Arial"/>
                <w:bCs/>
                <w:color w:val="222222"/>
                <w:sz w:val="20"/>
                <w:szCs w:val="20"/>
                <w:shd w:val="clear" w:color="auto" w:fill="FFFFFF"/>
                <w:lang w:val="fr-CH"/>
              </w:rPr>
              <w:t>Union internationale</w:t>
            </w:r>
            <w:r w:rsidRPr="00CA49D5">
              <w:rPr>
                <w:rFonts w:ascii="Arial" w:hAnsi="Arial" w:cs="Arial"/>
                <w:color w:val="222222"/>
                <w:sz w:val="20"/>
                <w:szCs w:val="20"/>
                <w:shd w:val="clear" w:color="auto" w:fill="FFFFFF"/>
                <w:lang w:val="fr-CH"/>
              </w:rPr>
              <w:t> des travailleurs de l'alimentation, de l'</w:t>
            </w:r>
            <w:r w:rsidRPr="00CA49D5">
              <w:rPr>
                <w:rFonts w:ascii="Arial" w:hAnsi="Arial" w:cs="Arial"/>
                <w:bCs/>
                <w:color w:val="222222"/>
                <w:sz w:val="20"/>
                <w:szCs w:val="20"/>
                <w:shd w:val="clear" w:color="auto" w:fill="FFFFFF"/>
                <w:lang w:val="fr-CH"/>
              </w:rPr>
              <w:t>agriculture</w:t>
            </w:r>
            <w:r w:rsidRPr="00CA49D5">
              <w:rPr>
                <w:rFonts w:ascii="Arial" w:hAnsi="Arial" w:cs="Arial"/>
                <w:color w:val="222222"/>
                <w:sz w:val="20"/>
                <w:szCs w:val="20"/>
                <w:shd w:val="clear" w:color="auto" w:fill="FFFFFF"/>
                <w:lang w:val="fr-CH"/>
              </w:rPr>
              <w:t>, de l'hôtellerie-restauration, du tabac et des branches connexes (UITA)</w:t>
            </w:r>
          </w:p>
        </w:tc>
        <w:tc>
          <w:tcPr>
            <w:tcW w:w="5916" w:type="dxa"/>
            <w:hideMark/>
          </w:tcPr>
          <w:p w14:paraId="1F4B5EAA" w14:textId="77777777" w:rsidR="000074A3" w:rsidRPr="00CA49D5" w:rsidRDefault="00CA49D5" w:rsidP="004A35FF">
            <w:pPr>
              <w:rPr>
                <w:rFonts w:ascii="Calibri" w:hAnsi="Calibri"/>
                <w:color w:val="000000" w:themeColor="text1"/>
                <w:sz w:val="22"/>
                <w:szCs w:val="22"/>
                <w:lang w:val="fr-CH"/>
              </w:rPr>
            </w:pPr>
            <w:r w:rsidRPr="00CA49D5">
              <w:rPr>
                <w:rFonts w:ascii="Calibri" w:hAnsi="Calibri"/>
                <w:color w:val="000000" w:themeColor="text1"/>
                <w:sz w:val="22"/>
                <w:szCs w:val="22"/>
                <w:lang w:val="fr-CH"/>
              </w:rPr>
              <w:t>L’UITA se compose actuellement d</w:t>
            </w:r>
            <w:r>
              <w:rPr>
                <w:rFonts w:ascii="Calibri" w:hAnsi="Calibri"/>
                <w:color w:val="000000" w:themeColor="text1"/>
                <w:sz w:val="22"/>
                <w:szCs w:val="22"/>
                <w:lang w:val="fr-CH"/>
              </w:rPr>
              <w:t>e 385 syndicats dans 123 pays, ce qui représente 12 millions de travailleurs en tout (y compris des membres financiers de 2.6 millions)</w:t>
            </w:r>
          </w:p>
        </w:tc>
      </w:tr>
      <w:tr w:rsidR="000074A3" w:rsidRPr="00197E92" w14:paraId="1A92711F" w14:textId="77777777" w:rsidTr="004A35FF">
        <w:trPr>
          <w:trHeight w:val="900"/>
        </w:trPr>
        <w:tc>
          <w:tcPr>
            <w:tcW w:w="549" w:type="dxa"/>
            <w:noWrap/>
            <w:hideMark/>
          </w:tcPr>
          <w:p w14:paraId="7E2054D7" w14:textId="77777777" w:rsidR="000074A3" w:rsidRPr="00CA49D5" w:rsidRDefault="000074A3" w:rsidP="004A35FF">
            <w:pPr>
              <w:rPr>
                <w:rFonts w:ascii="Calibri" w:hAnsi="Calibri"/>
                <w:color w:val="000000" w:themeColor="text1"/>
                <w:sz w:val="22"/>
                <w:szCs w:val="22"/>
                <w:lang w:val="fr-CH"/>
              </w:rPr>
            </w:pPr>
          </w:p>
        </w:tc>
        <w:tc>
          <w:tcPr>
            <w:tcW w:w="3249" w:type="dxa"/>
            <w:noWrap/>
            <w:hideMark/>
          </w:tcPr>
          <w:p w14:paraId="3963BE8E" w14:textId="77777777" w:rsidR="000074A3" w:rsidRPr="00197E92" w:rsidRDefault="000074A3" w:rsidP="004A35FF">
            <w:pPr>
              <w:rPr>
                <w:rFonts w:ascii="Calibri" w:hAnsi="Calibri"/>
                <w:color w:val="000000" w:themeColor="text1"/>
                <w:sz w:val="22"/>
                <w:szCs w:val="22"/>
              </w:rPr>
            </w:pPr>
            <w:r w:rsidRPr="00197E92">
              <w:rPr>
                <w:rFonts w:ascii="Calibri" w:hAnsi="Calibri"/>
                <w:color w:val="000000" w:themeColor="text1"/>
                <w:sz w:val="22"/>
                <w:szCs w:val="22"/>
              </w:rPr>
              <w:t xml:space="preserve">Pacific Network on Globalization (PANG) </w:t>
            </w:r>
          </w:p>
        </w:tc>
        <w:tc>
          <w:tcPr>
            <w:tcW w:w="5916" w:type="dxa"/>
            <w:hideMark/>
          </w:tcPr>
          <w:p w14:paraId="42923091" w14:textId="77777777" w:rsidR="00CA49D5" w:rsidRPr="00587F8D" w:rsidRDefault="00CA49D5" w:rsidP="004A35FF">
            <w:pPr>
              <w:rPr>
                <w:rFonts w:ascii="Calibri" w:hAnsi="Calibri"/>
                <w:color w:val="000000" w:themeColor="text1"/>
                <w:sz w:val="22"/>
                <w:szCs w:val="22"/>
                <w:lang w:val="fr-CH"/>
              </w:rPr>
            </w:pPr>
            <w:r w:rsidRPr="00587F8D">
              <w:rPr>
                <w:rFonts w:ascii="Calibri" w:hAnsi="Calibri"/>
                <w:color w:val="000000" w:themeColor="text1"/>
                <w:sz w:val="22"/>
                <w:szCs w:val="22"/>
                <w:lang w:val="fr-CH"/>
              </w:rPr>
              <w:t xml:space="preserve">Le </w:t>
            </w:r>
            <w:r w:rsidR="00587F8D">
              <w:rPr>
                <w:rFonts w:ascii="Calibri" w:hAnsi="Calibri"/>
                <w:color w:val="000000" w:themeColor="text1"/>
                <w:sz w:val="22"/>
                <w:szCs w:val="22"/>
                <w:lang w:val="fr-CH"/>
              </w:rPr>
              <w:t>R</w:t>
            </w:r>
            <w:r w:rsidRPr="00587F8D">
              <w:rPr>
                <w:rFonts w:ascii="Calibri" w:hAnsi="Calibri"/>
                <w:color w:val="000000" w:themeColor="text1"/>
                <w:sz w:val="22"/>
                <w:szCs w:val="22"/>
                <w:lang w:val="fr-CH"/>
              </w:rPr>
              <w:t xml:space="preserve">éseau pacifique sur la mondialisation (PANG) </w:t>
            </w:r>
            <w:r w:rsidR="00587F8D" w:rsidRPr="00587F8D">
              <w:rPr>
                <w:rFonts w:ascii="Calibri" w:hAnsi="Calibri"/>
                <w:color w:val="000000" w:themeColor="text1"/>
                <w:sz w:val="22"/>
                <w:szCs w:val="22"/>
                <w:lang w:val="fr-CH"/>
              </w:rPr>
              <w:t>e</w:t>
            </w:r>
            <w:r w:rsidR="00587F8D">
              <w:rPr>
                <w:rFonts w:ascii="Calibri" w:hAnsi="Calibri"/>
                <w:color w:val="000000" w:themeColor="text1"/>
                <w:sz w:val="22"/>
                <w:szCs w:val="22"/>
                <w:lang w:val="fr-CH"/>
              </w:rPr>
              <w:t>st un réseau régional qui vise à promouvoir l’auto-détermination économique et la justice dans les îles du Pacifique</w:t>
            </w:r>
          </w:p>
          <w:p w14:paraId="7D5E027D" w14:textId="77777777" w:rsidR="000074A3" w:rsidRPr="00197E92" w:rsidRDefault="000074A3" w:rsidP="004A35FF">
            <w:pPr>
              <w:rPr>
                <w:rFonts w:ascii="Calibri" w:hAnsi="Calibri"/>
                <w:color w:val="000000" w:themeColor="text1"/>
                <w:sz w:val="22"/>
                <w:szCs w:val="22"/>
              </w:rPr>
            </w:pPr>
          </w:p>
        </w:tc>
      </w:tr>
      <w:tr w:rsidR="000074A3" w:rsidRPr="00197E92" w14:paraId="3E3E201E" w14:textId="77777777" w:rsidTr="000074A3">
        <w:trPr>
          <w:trHeight w:val="900"/>
        </w:trPr>
        <w:tc>
          <w:tcPr>
            <w:tcW w:w="549" w:type="dxa"/>
            <w:tcBorders>
              <w:top w:val="single" w:sz="4" w:space="0" w:color="auto"/>
              <w:left w:val="single" w:sz="4" w:space="0" w:color="auto"/>
              <w:bottom w:val="single" w:sz="4" w:space="0" w:color="auto"/>
              <w:right w:val="single" w:sz="4" w:space="0" w:color="auto"/>
            </w:tcBorders>
            <w:noWrap/>
            <w:hideMark/>
          </w:tcPr>
          <w:p w14:paraId="7F0A618A" w14:textId="77777777" w:rsidR="000074A3" w:rsidRPr="00197E92" w:rsidRDefault="000074A3" w:rsidP="004A35FF">
            <w:pPr>
              <w:rPr>
                <w:rFonts w:ascii="Calibri" w:hAnsi="Calibri"/>
                <w:color w:val="000000" w:themeColor="text1"/>
                <w:sz w:val="22"/>
                <w:szCs w:val="22"/>
              </w:rPr>
            </w:pPr>
          </w:p>
        </w:tc>
        <w:tc>
          <w:tcPr>
            <w:tcW w:w="3249" w:type="dxa"/>
            <w:tcBorders>
              <w:top w:val="single" w:sz="4" w:space="0" w:color="auto"/>
              <w:left w:val="single" w:sz="4" w:space="0" w:color="auto"/>
              <w:bottom w:val="single" w:sz="4" w:space="0" w:color="auto"/>
              <w:right w:val="single" w:sz="4" w:space="0" w:color="auto"/>
            </w:tcBorders>
            <w:noWrap/>
            <w:hideMark/>
          </w:tcPr>
          <w:p w14:paraId="4C4CDC93" w14:textId="77777777" w:rsidR="000074A3" w:rsidRPr="00197E92" w:rsidRDefault="000074A3" w:rsidP="004A35FF">
            <w:pPr>
              <w:rPr>
                <w:rFonts w:ascii="Calibri" w:hAnsi="Calibri"/>
                <w:color w:val="000000" w:themeColor="text1"/>
                <w:sz w:val="22"/>
                <w:szCs w:val="22"/>
              </w:rPr>
            </w:pPr>
            <w:r w:rsidRPr="00197E92">
              <w:rPr>
                <w:rFonts w:ascii="Calibri" w:hAnsi="Calibri"/>
                <w:color w:val="000000" w:themeColor="text1"/>
                <w:sz w:val="22"/>
                <w:szCs w:val="22"/>
              </w:rPr>
              <w:t>Third World Network (TWN)</w:t>
            </w:r>
          </w:p>
        </w:tc>
        <w:tc>
          <w:tcPr>
            <w:tcW w:w="5916" w:type="dxa"/>
            <w:tcBorders>
              <w:top w:val="single" w:sz="4" w:space="0" w:color="auto"/>
              <w:left w:val="single" w:sz="4" w:space="0" w:color="auto"/>
              <w:bottom w:val="single" w:sz="4" w:space="0" w:color="auto"/>
              <w:right w:val="single" w:sz="4" w:space="0" w:color="auto"/>
            </w:tcBorders>
            <w:hideMark/>
          </w:tcPr>
          <w:p w14:paraId="3BB6CD8B" w14:textId="77777777" w:rsidR="00587F8D" w:rsidRPr="00587F8D" w:rsidRDefault="000074A3" w:rsidP="004A35FF">
            <w:pPr>
              <w:rPr>
                <w:rFonts w:ascii="Calibri" w:hAnsi="Calibri"/>
                <w:color w:val="000000" w:themeColor="text1"/>
                <w:sz w:val="22"/>
                <w:szCs w:val="22"/>
                <w:lang w:val="fr-CH"/>
              </w:rPr>
            </w:pPr>
            <w:r w:rsidRPr="00587F8D">
              <w:rPr>
                <w:rFonts w:ascii="Calibri" w:hAnsi="Calibri"/>
                <w:color w:val="000000" w:themeColor="text1"/>
                <w:sz w:val="22"/>
                <w:szCs w:val="22"/>
                <w:lang w:val="fr-CH"/>
              </w:rPr>
              <w:t>TWN</w:t>
            </w:r>
            <w:r w:rsidR="00587F8D" w:rsidRPr="00587F8D">
              <w:rPr>
                <w:rFonts w:ascii="Calibri" w:hAnsi="Calibri"/>
                <w:color w:val="000000" w:themeColor="text1"/>
                <w:sz w:val="22"/>
                <w:szCs w:val="22"/>
                <w:lang w:val="fr-CH"/>
              </w:rPr>
              <w:t xml:space="preserve"> est un réseau i</w:t>
            </w:r>
            <w:r w:rsidR="00587F8D">
              <w:rPr>
                <w:rFonts w:ascii="Calibri" w:hAnsi="Calibri"/>
                <w:color w:val="000000" w:themeColor="text1"/>
                <w:sz w:val="22"/>
                <w:szCs w:val="22"/>
                <w:lang w:val="fr-CH"/>
              </w:rPr>
              <w:t xml:space="preserve">ndépendant et à but non lucratif d’organisations et individus impliqués dans les questions qui touchent au développement, les pays en développement et les affaires Nord – Sud. </w:t>
            </w:r>
          </w:p>
          <w:p w14:paraId="6EF814AD" w14:textId="77777777" w:rsidR="000074A3" w:rsidRPr="00197E92" w:rsidRDefault="000074A3" w:rsidP="00587F8D">
            <w:pPr>
              <w:rPr>
                <w:rFonts w:ascii="Calibri" w:hAnsi="Calibri"/>
                <w:color w:val="000000" w:themeColor="text1"/>
                <w:sz w:val="22"/>
                <w:szCs w:val="22"/>
              </w:rPr>
            </w:pPr>
            <w:r w:rsidRPr="00587F8D">
              <w:rPr>
                <w:rFonts w:ascii="Calibri" w:hAnsi="Calibri"/>
                <w:color w:val="000000" w:themeColor="text1"/>
                <w:sz w:val="22"/>
                <w:szCs w:val="22"/>
                <w:lang w:val="fr-CH"/>
              </w:rPr>
              <w:t xml:space="preserve"> </w:t>
            </w:r>
          </w:p>
        </w:tc>
      </w:tr>
      <w:tr w:rsidR="000074A3" w:rsidRPr="00197E92" w14:paraId="6924B08D" w14:textId="77777777" w:rsidTr="000976CF">
        <w:trPr>
          <w:trHeight w:val="323"/>
        </w:trPr>
        <w:tc>
          <w:tcPr>
            <w:tcW w:w="549" w:type="dxa"/>
            <w:tcBorders>
              <w:top w:val="single" w:sz="4" w:space="0" w:color="auto"/>
              <w:left w:val="single" w:sz="4" w:space="0" w:color="auto"/>
              <w:bottom w:val="single" w:sz="4" w:space="0" w:color="auto"/>
              <w:right w:val="single" w:sz="4" w:space="0" w:color="auto"/>
            </w:tcBorders>
            <w:noWrap/>
            <w:hideMark/>
          </w:tcPr>
          <w:p w14:paraId="7062EEB2" w14:textId="77777777" w:rsidR="000074A3" w:rsidRPr="00197E92" w:rsidRDefault="000074A3" w:rsidP="004A35FF">
            <w:pPr>
              <w:rPr>
                <w:rFonts w:ascii="Calibri" w:hAnsi="Calibri"/>
                <w:color w:val="000000" w:themeColor="text1"/>
                <w:sz w:val="22"/>
                <w:szCs w:val="22"/>
              </w:rPr>
            </w:pPr>
          </w:p>
        </w:tc>
        <w:tc>
          <w:tcPr>
            <w:tcW w:w="3249" w:type="dxa"/>
            <w:tcBorders>
              <w:top w:val="single" w:sz="4" w:space="0" w:color="auto"/>
              <w:left w:val="single" w:sz="4" w:space="0" w:color="auto"/>
              <w:bottom w:val="single" w:sz="4" w:space="0" w:color="auto"/>
              <w:right w:val="single" w:sz="4" w:space="0" w:color="auto"/>
            </w:tcBorders>
            <w:noWrap/>
            <w:hideMark/>
          </w:tcPr>
          <w:p w14:paraId="1E6C0DAA" w14:textId="77777777" w:rsidR="000074A3" w:rsidRPr="00197E92" w:rsidRDefault="000074A3" w:rsidP="004A35FF">
            <w:pPr>
              <w:rPr>
                <w:rFonts w:ascii="Calibri" w:hAnsi="Calibri"/>
                <w:color w:val="000000" w:themeColor="text1"/>
                <w:sz w:val="22"/>
                <w:szCs w:val="22"/>
              </w:rPr>
            </w:pPr>
            <w:r w:rsidRPr="00197E92">
              <w:rPr>
                <w:rFonts w:ascii="Calibri" w:hAnsi="Calibri"/>
                <w:color w:val="000000" w:themeColor="text1"/>
                <w:sz w:val="22"/>
                <w:szCs w:val="22"/>
              </w:rPr>
              <w:t xml:space="preserve">UNI Americas </w:t>
            </w:r>
          </w:p>
        </w:tc>
        <w:tc>
          <w:tcPr>
            <w:tcW w:w="5916" w:type="dxa"/>
            <w:tcBorders>
              <w:top w:val="single" w:sz="4" w:space="0" w:color="auto"/>
              <w:left w:val="single" w:sz="4" w:space="0" w:color="auto"/>
              <w:bottom w:val="single" w:sz="4" w:space="0" w:color="auto"/>
              <w:right w:val="single" w:sz="4" w:space="0" w:color="auto"/>
            </w:tcBorders>
            <w:hideMark/>
          </w:tcPr>
          <w:p w14:paraId="0044C420" w14:textId="77777777" w:rsidR="000074A3" w:rsidRPr="00197E92" w:rsidRDefault="000074A3" w:rsidP="000976CF">
            <w:pPr>
              <w:rPr>
                <w:rFonts w:ascii="Calibri" w:hAnsi="Calibri"/>
                <w:color w:val="000000" w:themeColor="text1"/>
                <w:sz w:val="22"/>
                <w:szCs w:val="22"/>
              </w:rPr>
            </w:pPr>
          </w:p>
        </w:tc>
      </w:tr>
    </w:tbl>
    <w:p w14:paraId="3F960284" w14:textId="77777777" w:rsidR="000074A3" w:rsidRPr="00197E92" w:rsidRDefault="000074A3" w:rsidP="00E32C11">
      <w:pPr>
        <w:rPr>
          <w:rFonts w:ascii="Calibri" w:eastAsia="Times New Roman" w:hAnsi="Calibri" w:cs="Times New Roman"/>
          <w:i/>
          <w:color w:val="000000" w:themeColor="text1"/>
          <w:sz w:val="22"/>
          <w:szCs w:val="22"/>
          <w:shd w:val="clear" w:color="auto" w:fill="FFFFFF"/>
        </w:rPr>
      </w:pPr>
    </w:p>
    <w:p w14:paraId="78EB5C63" w14:textId="77777777" w:rsidR="00E32C11" w:rsidRPr="00197E92" w:rsidRDefault="00E32C11" w:rsidP="00E32C11">
      <w:pPr>
        <w:rPr>
          <w:rFonts w:ascii="Calibri" w:eastAsia="Times New Roman" w:hAnsi="Calibri" w:cs="Times New Roman"/>
          <w:i/>
          <w:color w:val="000000" w:themeColor="text1"/>
          <w:sz w:val="22"/>
          <w:szCs w:val="22"/>
          <w:shd w:val="clear" w:color="auto" w:fill="FFFFFF"/>
        </w:rPr>
      </w:pPr>
      <w:r w:rsidRPr="00197E92">
        <w:rPr>
          <w:rFonts w:ascii="Calibri" w:eastAsia="Times New Roman" w:hAnsi="Calibri" w:cs="Times New Roman"/>
          <w:i/>
          <w:color w:val="000000" w:themeColor="text1"/>
          <w:sz w:val="22"/>
          <w:szCs w:val="22"/>
          <w:shd w:val="clear" w:color="auto" w:fill="FFFFFF"/>
        </w:rPr>
        <w:t>National Organizations</w:t>
      </w:r>
    </w:p>
    <w:p w14:paraId="78444B61" w14:textId="77777777" w:rsidR="00E32C11" w:rsidRPr="00197E92" w:rsidRDefault="00E32C11" w:rsidP="00E32C11">
      <w:pPr>
        <w:rPr>
          <w:rFonts w:ascii="Calibri" w:eastAsia="Times New Roman" w:hAnsi="Calibri" w:cs="Times New Roman"/>
          <w:color w:val="000000" w:themeColor="text1"/>
          <w:sz w:val="22"/>
          <w:szCs w:val="22"/>
          <w:shd w:val="clear" w:color="auto" w:fill="FFFFFF"/>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358"/>
        <w:gridCol w:w="1797"/>
      </w:tblGrid>
      <w:tr w:rsidR="000074A3" w:rsidRPr="00197E92" w14:paraId="4DB7055B" w14:textId="77777777" w:rsidTr="004A35FF">
        <w:trPr>
          <w:trHeight w:val="300"/>
        </w:trPr>
        <w:tc>
          <w:tcPr>
            <w:tcW w:w="657" w:type="dxa"/>
            <w:noWrap/>
            <w:hideMark/>
          </w:tcPr>
          <w:p w14:paraId="6F0CCD88" w14:textId="77777777" w:rsidR="000074A3" w:rsidRPr="00197E92" w:rsidRDefault="000074A3" w:rsidP="004A35FF">
            <w:pPr>
              <w:rPr>
                <w:rFonts w:ascii="Calibri" w:hAnsi="Calibri"/>
                <w:color w:val="000000" w:themeColor="text1"/>
                <w:sz w:val="22"/>
                <w:szCs w:val="22"/>
              </w:rPr>
            </w:pPr>
          </w:p>
        </w:tc>
        <w:tc>
          <w:tcPr>
            <w:tcW w:w="7358" w:type="dxa"/>
            <w:noWrap/>
            <w:hideMark/>
          </w:tcPr>
          <w:p w14:paraId="5935E001" w14:textId="77777777" w:rsidR="000074A3" w:rsidRPr="00AD12EB" w:rsidRDefault="000074A3" w:rsidP="004A35FF">
            <w:pPr>
              <w:rPr>
                <w:rFonts w:ascii="Calibri" w:hAnsi="Calibri"/>
                <w:color w:val="000000" w:themeColor="text1"/>
                <w:sz w:val="22"/>
                <w:szCs w:val="22"/>
                <w:lang w:val="fr-CH"/>
              </w:rPr>
            </w:pPr>
            <w:proofErr w:type="spellStart"/>
            <w:r w:rsidRPr="00AD12EB">
              <w:rPr>
                <w:rFonts w:ascii="Calibri" w:hAnsi="Calibri"/>
                <w:color w:val="000000" w:themeColor="text1"/>
                <w:sz w:val="22"/>
                <w:szCs w:val="22"/>
                <w:lang w:val="fr-CH"/>
              </w:rPr>
              <w:t>Federación</w:t>
            </w:r>
            <w:proofErr w:type="spellEnd"/>
            <w:r w:rsidRPr="00AD12EB">
              <w:rPr>
                <w:rFonts w:ascii="Calibri" w:hAnsi="Calibri"/>
                <w:color w:val="000000" w:themeColor="text1"/>
                <w:sz w:val="22"/>
                <w:szCs w:val="22"/>
                <w:lang w:val="fr-CH"/>
              </w:rPr>
              <w:t xml:space="preserve"> Argentina de </w:t>
            </w:r>
            <w:proofErr w:type="spellStart"/>
            <w:r w:rsidRPr="00AD12EB">
              <w:rPr>
                <w:rFonts w:ascii="Calibri" w:hAnsi="Calibri"/>
                <w:color w:val="000000" w:themeColor="text1"/>
                <w:sz w:val="22"/>
                <w:szCs w:val="22"/>
                <w:lang w:val="fr-CH"/>
              </w:rPr>
              <w:t>Empleados</w:t>
            </w:r>
            <w:proofErr w:type="spellEnd"/>
            <w:r w:rsidRPr="00AD12EB">
              <w:rPr>
                <w:rFonts w:ascii="Calibri" w:hAnsi="Calibri"/>
                <w:color w:val="000000" w:themeColor="text1"/>
                <w:sz w:val="22"/>
                <w:szCs w:val="22"/>
                <w:lang w:val="fr-CH"/>
              </w:rPr>
              <w:t xml:space="preserve"> de </w:t>
            </w:r>
            <w:proofErr w:type="spellStart"/>
            <w:r w:rsidRPr="00AD12EB">
              <w:rPr>
                <w:rFonts w:ascii="Calibri" w:hAnsi="Calibri"/>
                <w:color w:val="000000" w:themeColor="text1"/>
                <w:sz w:val="22"/>
                <w:szCs w:val="22"/>
                <w:lang w:val="fr-CH"/>
              </w:rPr>
              <w:t>Comercio</w:t>
            </w:r>
            <w:proofErr w:type="spellEnd"/>
            <w:r w:rsidRPr="00AD12EB">
              <w:rPr>
                <w:rFonts w:ascii="Calibri" w:hAnsi="Calibri"/>
                <w:color w:val="000000" w:themeColor="text1"/>
                <w:sz w:val="22"/>
                <w:szCs w:val="22"/>
                <w:lang w:val="fr-CH"/>
              </w:rPr>
              <w:t xml:space="preserve"> y </w:t>
            </w:r>
            <w:proofErr w:type="spellStart"/>
            <w:r w:rsidRPr="00AD12EB">
              <w:rPr>
                <w:rFonts w:ascii="Calibri" w:hAnsi="Calibri"/>
                <w:color w:val="000000" w:themeColor="text1"/>
                <w:sz w:val="22"/>
                <w:szCs w:val="22"/>
                <w:lang w:val="fr-CH"/>
              </w:rPr>
              <w:t>Servicios</w:t>
            </w:r>
            <w:proofErr w:type="spellEnd"/>
            <w:r w:rsidRPr="00AD12EB">
              <w:rPr>
                <w:rFonts w:ascii="Calibri" w:hAnsi="Calibri"/>
                <w:color w:val="000000" w:themeColor="text1"/>
                <w:sz w:val="22"/>
                <w:szCs w:val="22"/>
                <w:lang w:val="fr-CH"/>
              </w:rPr>
              <w:t xml:space="preserve"> (FAECYS)</w:t>
            </w:r>
          </w:p>
        </w:tc>
        <w:tc>
          <w:tcPr>
            <w:tcW w:w="1797" w:type="dxa"/>
            <w:noWrap/>
            <w:hideMark/>
          </w:tcPr>
          <w:p w14:paraId="02DF5B1C" w14:textId="77777777" w:rsidR="000074A3" w:rsidRPr="00197E92" w:rsidRDefault="000074A3" w:rsidP="004A35FF">
            <w:pPr>
              <w:rPr>
                <w:rFonts w:ascii="Calibri" w:hAnsi="Calibri"/>
                <w:color w:val="000000" w:themeColor="text1"/>
                <w:sz w:val="22"/>
                <w:szCs w:val="22"/>
              </w:rPr>
            </w:pPr>
            <w:r w:rsidRPr="00197E92">
              <w:rPr>
                <w:rFonts w:ascii="Calibri" w:hAnsi="Calibri"/>
                <w:color w:val="000000" w:themeColor="text1"/>
                <w:sz w:val="22"/>
                <w:szCs w:val="22"/>
              </w:rPr>
              <w:t xml:space="preserve">Argentina </w:t>
            </w:r>
          </w:p>
        </w:tc>
      </w:tr>
      <w:tr w:rsidR="000074A3" w:rsidRPr="00197E92" w14:paraId="2B6D7768" w14:textId="77777777" w:rsidTr="004A35FF">
        <w:trPr>
          <w:trHeight w:val="300"/>
        </w:trPr>
        <w:tc>
          <w:tcPr>
            <w:tcW w:w="657" w:type="dxa"/>
            <w:noWrap/>
            <w:hideMark/>
          </w:tcPr>
          <w:p w14:paraId="01555925" w14:textId="77777777" w:rsidR="000074A3" w:rsidRPr="00197E92" w:rsidRDefault="000074A3" w:rsidP="004A35FF">
            <w:pPr>
              <w:rPr>
                <w:rFonts w:ascii="Calibri" w:hAnsi="Calibri"/>
                <w:color w:val="000000" w:themeColor="text1"/>
                <w:sz w:val="22"/>
                <w:szCs w:val="22"/>
              </w:rPr>
            </w:pPr>
          </w:p>
        </w:tc>
        <w:tc>
          <w:tcPr>
            <w:tcW w:w="7358" w:type="dxa"/>
            <w:noWrap/>
            <w:hideMark/>
          </w:tcPr>
          <w:p w14:paraId="424985D5" w14:textId="77777777" w:rsidR="000074A3" w:rsidRPr="00197E92" w:rsidRDefault="000074A3" w:rsidP="004A35FF">
            <w:pPr>
              <w:rPr>
                <w:rFonts w:ascii="Calibri" w:hAnsi="Calibri"/>
                <w:color w:val="000000" w:themeColor="text1"/>
                <w:sz w:val="22"/>
                <w:szCs w:val="22"/>
              </w:rPr>
            </w:pPr>
            <w:proofErr w:type="spellStart"/>
            <w:r w:rsidRPr="00E32C11">
              <w:rPr>
                <w:rFonts w:ascii="Calibri" w:eastAsia="Times New Roman" w:hAnsi="Calibri" w:cs="Times New Roman"/>
                <w:color w:val="000000" w:themeColor="text1"/>
                <w:sz w:val="22"/>
                <w:szCs w:val="22"/>
              </w:rPr>
              <w:t>Fundación</w:t>
            </w:r>
            <w:proofErr w:type="spellEnd"/>
            <w:r w:rsidRPr="00E32C11">
              <w:rPr>
                <w:rFonts w:ascii="Calibri" w:eastAsia="Times New Roman" w:hAnsi="Calibri" w:cs="Times New Roman"/>
                <w:color w:val="000000" w:themeColor="text1"/>
                <w:sz w:val="22"/>
                <w:szCs w:val="22"/>
              </w:rPr>
              <w:t xml:space="preserve"> </w:t>
            </w:r>
            <w:proofErr w:type="spellStart"/>
            <w:r w:rsidRPr="00E32C11">
              <w:rPr>
                <w:rFonts w:ascii="Calibri" w:eastAsia="Times New Roman" w:hAnsi="Calibri" w:cs="Times New Roman"/>
                <w:color w:val="000000" w:themeColor="text1"/>
                <w:sz w:val="22"/>
                <w:szCs w:val="22"/>
              </w:rPr>
              <w:t>Vía</w:t>
            </w:r>
            <w:proofErr w:type="spellEnd"/>
            <w:r w:rsidRPr="00E32C11">
              <w:rPr>
                <w:rFonts w:ascii="Calibri" w:eastAsia="Times New Roman" w:hAnsi="Calibri" w:cs="Times New Roman"/>
                <w:color w:val="000000" w:themeColor="text1"/>
                <w:sz w:val="22"/>
                <w:szCs w:val="22"/>
              </w:rPr>
              <w:t xml:space="preserve"> </w:t>
            </w:r>
            <w:proofErr w:type="spellStart"/>
            <w:r w:rsidRPr="00E32C11">
              <w:rPr>
                <w:rFonts w:ascii="Calibri" w:eastAsia="Times New Roman" w:hAnsi="Calibri" w:cs="Times New Roman"/>
                <w:color w:val="000000" w:themeColor="text1"/>
                <w:sz w:val="22"/>
                <w:szCs w:val="22"/>
              </w:rPr>
              <w:t>Libre</w:t>
            </w:r>
            <w:proofErr w:type="spellEnd"/>
          </w:p>
        </w:tc>
        <w:tc>
          <w:tcPr>
            <w:tcW w:w="1797" w:type="dxa"/>
            <w:noWrap/>
            <w:hideMark/>
          </w:tcPr>
          <w:p w14:paraId="19A0085C" w14:textId="77777777" w:rsidR="000074A3" w:rsidRPr="00197E92" w:rsidRDefault="000074A3" w:rsidP="004A35FF">
            <w:pPr>
              <w:rPr>
                <w:rFonts w:ascii="Calibri" w:hAnsi="Calibri"/>
                <w:color w:val="000000" w:themeColor="text1"/>
                <w:sz w:val="22"/>
                <w:szCs w:val="22"/>
              </w:rPr>
            </w:pPr>
            <w:r w:rsidRPr="00197E92">
              <w:rPr>
                <w:rFonts w:ascii="Calibri" w:hAnsi="Calibri"/>
                <w:color w:val="000000" w:themeColor="text1"/>
                <w:sz w:val="22"/>
                <w:szCs w:val="22"/>
              </w:rPr>
              <w:t xml:space="preserve">Argentina </w:t>
            </w:r>
          </w:p>
        </w:tc>
      </w:tr>
      <w:tr w:rsidR="000074A3" w:rsidRPr="00197E92" w14:paraId="1D2C049E" w14:textId="77777777" w:rsidTr="004A35FF">
        <w:trPr>
          <w:trHeight w:val="300"/>
        </w:trPr>
        <w:tc>
          <w:tcPr>
            <w:tcW w:w="657" w:type="dxa"/>
            <w:noWrap/>
            <w:hideMark/>
          </w:tcPr>
          <w:p w14:paraId="218A9D49" w14:textId="77777777" w:rsidR="000074A3" w:rsidRPr="00197E92" w:rsidRDefault="000074A3" w:rsidP="004A35FF">
            <w:pPr>
              <w:rPr>
                <w:rFonts w:ascii="Calibri" w:hAnsi="Calibri"/>
                <w:color w:val="000000" w:themeColor="text1"/>
                <w:sz w:val="22"/>
                <w:szCs w:val="22"/>
              </w:rPr>
            </w:pPr>
          </w:p>
        </w:tc>
        <w:tc>
          <w:tcPr>
            <w:tcW w:w="7358" w:type="dxa"/>
            <w:noWrap/>
            <w:hideMark/>
          </w:tcPr>
          <w:p w14:paraId="5DC0BE74" w14:textId="77777777" w:rsidR="000074A3" w:rsidRPr="00197E92" w:rsidRDefault="000074A3" w:rsidP="004A35FF">
            <w:pPr>
              <w:rPr>
                <w:rFonts w:ascii="Calibri" w:hAnsi="Calibri"/>
                <w:color w:val="000000" w:themeColor="text1"/>
                <w:sz w:val="22"/>
                <w:szCs w:val="22"/>
              </w:rPr>
            </w:pPr>
            <w:r w:rsidRPr="00197E92">
              <w:rPr>
                <w:rFonts w:ascii="Calibri" w:eastAsia="Times New Roman" w:hAnsi="Calibri" w:cs="Times New Roman"/>
                <w:color w:val="000000" w:themeColor="text1"/>
                <w:sz w:val="22"/>
                <w:szCs w:val="22"/>
              </w:rPr>
              <w:t xml:space="preserve">World </w:t>
            </w:r>
            <w:proofErr w:type="spellStart"/>
            <w:r w:rsidRPr="00197E92">
              <w:rPr>
                <w:rFonts w:ascii="Calibri" w:eastAsia="Times New Roman" w:hAnsi="Calibri" w:cs="Times New Roman"/>
                <w:color w:val="000000" w:themeColor="text1"/>
                <w:sz w:val="22"/>
                <w:szCs w:val="22"/>
              </w:rPr>
              <w:t>Labour</w:t>
            </w:r>
            <w:proofErr w:type="spellEnd"/>
            <w:r w:rsidRPr="00197E92">
              <w:rPr>
                <w:rFonts w:ascii="Calibri" w:eastAsia="Times New Roman" w:hAnsi="Calibri" w:cs="Times New Roman"/>
                <w:color w:val="000000" w:themeColor="text1"/>
                <w:sz w:val="22"/>
                <w:szCs w:val="22"/>
              </w:rPr>
              <w:t xml:space="preserve"> I</w:t>
            </w:r>
            <w:r w:rsidRPr="00E32C11">
              <w:rPr>
                <w:rFonts w:ascii="Calibri" w:eastAsia="Times New Roman" w:hAnsi="Calibri" w:cs="Times New Roman"/>
                <w:color w:val="000000" w:themeColor="text1"/>
                <w:sz w:val="22"/>
                <w:szCs w:val="22"/>
              </w:rPr>
              <w:t>n</w:t>
            </w:r>
            <w:r w:rsidRPr="00197E92">
              <w:rPr>
                <w:rFonts w:ascii="Calibri" w:eastAsia="Times New Roman" w:hAnsi="Calibri" w:cs="Times New Roman"/>
                <w:color w:val="000000" w:themeColor="text1"/>
                <w:sz w:val="22"/>
                <w:szCs w:val="22"/>
              </w:rPr>
              <w:t>s</w:t>
            </w:r>
            <w:r w:rsidRPr="00E32C11">
              <w:rPr>
                <w:rFonts w:ascii="Calibri" w:eastAsia="Times New Roman" w:hAnsi="Calibri" w:cs="Times New Roman"/>
                <w:color w:val="000000" w:themeColor="text1"/>
                <w:sz w:val="22"/>
                <w:szCs w:val="22"/>
              </w:rPr>
              <w:t xml:space="preserve">titute Julio </w:t>
            </w:r>
            <w:proofErr w:type="spellStart"/>
            <w:r w:rsidRPr="00E32C11">
              <w:rPr>
                <w:rFonts w:ascii="Calibri" w:eastAsia="Times New Roman" w:hAnsi="Calibri" w:cs="Times New Roman"/>
                <w:color w:val="000000" w:themeColor="text1"/>
                <w:sz w:val="22"/>
                <w:szCs w:val="22"/>
              </w:rPr>
              <w:t>Godio</w:t>
            </w:r>
            <w:proofErr w:type="spellEnd"/>
          </w:p>
        </w:tc>
        <w:tc>
          <w:tcPr>
            <w:tcW w:w="1797" w:type="dxa"/>
            <w:noWrap/>
            <w:hideMark/>
          </w:tcPr>
          <w:p w14:paraId="4657462D" w14:textId="77777777" w:rsidR="000074A3" w:rsidRPr="00197E92" w:rsidRDefault="000074A3" w:rsidP="004A35FF">
            <w:pPr>
              <w:rPr>
                <w:rFonts w:ascii="Calibri" w:hAnsi="Calibri"/>
                <w:color w:val="000000" w:themeColor="text1"/>
                <w:sz w:val="22"/>
                <w:szCs w:val="22"/>
              </w:rPr>
            </w:pPr>
            <w:r w:rsidRPr="00197E92">
              <w:rPr>
                <w:rFonts w:ascii="Calibri" w:hAnsi="Calibri"/>
                <w:color w:val="000000" w:themeColor="text1"/>
                <w:sz w:val="22"/>
                <w:szCs w:val="22"/>
              </w:rPr>
              <w:t xml:space="preserve">Argentina </w:t>
            </w:r>
          </w:p>
        </w:tc>
      </w:tr>
      <w:tr w:rsidR="000074A3" w:rsidRPr="00197E92" w14:paraId="7A910122" w14:textId="77777777" w:rsidTr="000074A3">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3CB9D3D3" w14:textId="77777777" w:rsidR="000074A3" w:rsidRPr="00197E92" w:rsidRDefault="000074A3" w:rsidP="004A35FF">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400028DC" w14:textId="77777777" w:rsidR="000074A3" w:rsidRPr="00197E92" w:rsidRDefault="000074A3" w:rsidP="004A35FF">
            <w:pPr>
              <w:rPr>
                <w:rFonts w:ascii="Calibri" w:eastAsia="Times New Roman" w:hAnsi="Calibri" w:cs="Times New Roman"/>
                <w:color w:val="000000" w:themeColor="text1"/>
                <w:sz w:val="22"/>
                <w:szCs w:val="22"/>
              </w:rPr>
            </w:pPr>
            <w:r w:rsidRPr="00197E92">
              <w:rPr>
                <w:rFonts w:ascii="Calibri" w:eastAsia="Times New Roman" w:hAnsi="Calibri" w:cs="Times New Roman"/>
                <w:color w:val="000000" w:themeColor="text1"/>
                <w:sz w:val="22"/>
                <w:szCs w:val="22"/>
              </w:rPr>
              <w:t>11.11.11</w:t>
            </w:r>
          </w:p>
        </w:tc>
        <w:tc>
          <w:tcPr>
            <w:tcW w:w="1797" w:type="dxa"/>
            <w:tcBorders>
              <w:top w:val="single" w:sz="4" w:space="0" w:color="auto"/>
              <w:left w:val="single" w:sz="4" w:space="0" w:color="auto"/>
              <w:bottom w:val="single" w:sz="4" w:space="0" w:color="auto"/>
              <w:right w:val="single" w:sz="4" w:space="0" w:color="auto"/>
            </w:tcBorders>
            <w:noWrap/>
            <w:hideMark/>
          </w:tcPr>
          <w:p w14:paraId="612C4647" w14:textId="77777777" w:rsidR="000074A3" w:rsidRPr="00197E92" w:rsidRDefault="000074A3" w:rsidP="004A35FF">
            <w:pPr>
              <w:rPr>
                <w:rFonts w:ascii="Calibri" w:hAnsi="Calibri"/>
                <w:color w:val="000000" w:themeColor="text1"/>
                <w:sz w:val="22"/>
                <w:szCs w:val="22"/>
              </w:rPr>
            </w:pPr>
            <w:r w:rsidRPr="00197E92">
              <w:rPr>
                <w:rFonts w:ascii="Calibri" w:hAnsi="Calibri"/>
                <w:color w:val="000000" w:themeColor="text1"/>
                <w:sz w:val="22"/>
                <w:szCs w:val="22"/>
              </w:rPr>
              <w:t>Belgium</w:t>
            </w:r>
          </w:p>
        </w:tc>
      </w:tr>
      <w:tr w:rsidR="000074A3" w:rsidRPr="00197E92" w14:paraId="514AB8BF" w14:textId="77777777" w:rsidTr="000074A3">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27E57269" w14:textId="77777777" w:rsidR="000074A3" w:rsidRPr="00197E92" w:rsidRDefault="000074A3" w:rsidP="004A35FF">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2862DFC4" w14:textId="77777777" w:rsidR="000074A3" w:rsidRPr="00AD12EB" w:rsidRDefault="000074A3" w:rsidP="004A35FF">
            <w:pPr>
              <w:rPr>
                <w:rFonts w:ascii="Calibri" w:eastAsia="Times New Roman" w:hAnsi="Calibri" w:cs="Times New Roman"/>
                <w:color w:val="000000" w:themeColor="text1"/>
                <w:sz w:val="22"/>
                <w:szCs w:val="22"/>
                <w:lang w:val="it-IT"/>
              </w:rPr>
            </w:pPr>
            <w:r w:rsidRPr="00AD12EB">
              <w:rPr>
                <w:rFonts w:ascii="Calibri" w:eastAsia="Times New Roman" w:hAnsi="Calibri" w:cs="Times New Roman"/>
                <w:color w:val="000000" w:themeColor="text1"/>
                <w:sz w:val="22"/>
                <w:szCs w:val="22"/>
                <w:lang w:val="it-IT"/>
              </w:rPr>
              <w:t xml:space="preserve">Rede Brasileira Pela </w:t>
            </w:r>
            <w:proofErr w:type="spellStart"/>
            <w:r w:rsidRPr="00AD12EB">
              <w:rPr>
                <w:rFonts w:ascii="Calibri" w:eastAsia="Times New Roman" w:hAnsi="Calibri" w:cs="Times New Roman"/>
                <w:color w:val="000000" w:themeColor="text1"/>
                <w:sz w:val="22"/>
                <w:szCs w:val="22"/>
                <w:lang w:val="it-IT"/>
              </w:rPr>
              <w:t>Integração</w:t>
            </w:r>
            <w:proofErr w:type="spellEnd"/>
            <w:r w:rsidRPr="00AD12EB">
              <w:rPr>
                <w:rFonts w:ascii="Calibri" w:eastAsia="Times New Roman" w:hAnsi="Calibri" w:cs="Times New Roman"/>
                <w:color w:val="000000" w:themeColor="text1"/>
                <w:sz w:val="22"/>
                <w:szCs w:val="22"/>
                <w:lang w:val="it-IT"/>
              </w:rPr>
              <w:t xml:space="preserve"> </w:t>
            </w:r>
            <w:proofErr w:type="spellStart"/>
            <w:r w:rsidRPr="00AD12EB">
              <w:rPr>
                <w:rFonts w:ascii="Calibri" w:eastAsia="Times New Roman" w:hAnsi="Calibri" w:cs="Times New Roman"/>
                <w:color w:val="000000" w:themeColor="text1"/>
                <w:sz w:val="22"/>
                <w:szCs w:val="22"/>
                <w:lang w:val="it-IT"/>
              </w:rPr>
              <w:t>dos</w:t>
            </w:r>
            <w:proofErr w:type="spellEnd"/>
            <w:r w:rsidRPr="00AD12EB">
              <w:rPr>
                <w:rFonts w:ascii="Calibri" w:eastAsia="Times New Roman" w:hAnsi="Calibri" w:cs="Times New Roman"/>
                <w:color w:val="000000" w:themeColor="text1"/>
                <w:sz w:val="22"/>
                <w:szCs w:val="22"/>
                <w:lang w:val="it-IT"/>
              </w:rPr>
              <w:t xml:space="preserve"> </w:t>
            </w:r>
            <w:proofErr w:type="spellStart"/>
            <w:r w:rsidRPr="00AD12EB">
              <w:rPr>
                <w:rFonts w:ascii="Calibri" w:eastAsia="Times New Roman" w:hAnsi="Calibri" w:cs="Times New Roman"/>
                <w:color w:val="000000" w:themeColor="text1"/>
                <w:sz w:val="22"/>
                <w:szCs w:val="22"/>
                <w:lang w:val="it-IT"/>
              </w:rPr>
              <w:t>Povos</w:t>
            </w:r>
            <w:proofErr w:type="spellEnd"/>
            <w:r w:rsidRPr="00AD12EB">
              <w:rPr>
                <w:rFonts w:ascii="Calibri" w:eastAsia="Times New Roman" w:hAnsi="Calibri" w:cs="Times New Roman"/>
                <w:color w:val="000000" w:themeColor="text1"/>
                <w:sz w:val="22"/>
                <w:szCs w:val="22"/>
                <w:lang w:val="it-IT"/>
              </w:rPr>
              <w:t xml:space="preserve"> (REBRIP)</w:t>
            </w:r>
          </w:p>
        </w:tc>
        <w:tc>
          <w:tcPr>
            <w:tcW w:w="1797" w:type="dxa"/>
            <w:tcBorders>
              <w:top w:val="single" w:sz="4" w:space="0" w:color="auto"/>
              <w:left w:val="single" w:sz="4" w:space="0" w:color="auto"/>
              <w:bottom w:val="single" w:sz="4" w:space="0" w:color="auto"/>
              <w:right w:val="single" w:sz="4" w:space="0" w:color="auto"/>
            </w:tcBorders>
            <w:noWrap/>
            <w:hideMark/>
          </w:tcPr>
          <w:p w14:paraId="742F2FD3" w14:textId="77777777" w:rsidR="000074A3" w:rsidRPr="00197E92" w:rsidRDefault="000074A3" w:rsidP="004A35FF">
            <w:pPr>
              <w:rPr>
                <w:rFonts w:ascii="Calibri" w:hAnsi="Calibri"/>
                <w:color w:val="000000" w:themeColor="text1"/>
                <w:sz w:val="22"/>
                <w:szCs w:val="22"/>
              </w:rPr>
            </w:pPr>
            <w:r w:rsidRPr="00197E92">
              <w:rPr>
                <w:rFonts w:ascii="Calibri" w:hAnsi="Calibri"/>
                <w:color w:val="000000" w:themeColor="text1"/>
                <w:sz w:val="22"/>
                <w:szCs w:val="22"/>
              </w:rPr>
              <w:t>Brazil</w:t>
            </w:r>
          </w:p>
        </w:tc>
      </w:tr>
      <w:tr w:rsidR="000074A3" w:rsidRPr="00197E92" w14:paraId="21D855A5" w14:textId="77777777" w:rsidTr="000074A3">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3A9E6468" w14:textId="77777777" w:rsidR="000074A3" w:rsidRPr="00197E92" w:rsidRDefault="000074A3" w:rsidP="004A35FF">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697ECEA2" w14:textId="77777777" w:rsidR="000074A3" w:rsidRPr="00197E92" w:rsidRDefault="00B83244" w:rsidP="004A35FF">
            <w:pPr>
              <w:rPr>
                <w:rFonts w:ascii="Calibri" w:eastAsia="Times New Roman" w:hAnsi="Calibri" w:cs="Times New Roman"/>
                <w:color w:val="000000" w:themeColor="text1"/>
                <w:sz w:val="22"/>
                <w:szCs w:val="22"/>
              </w:rPr>
            </w:pPr>
            <w:r w:rsidRPr="00197E92">
              <w:rPr>
                <w:rFonts w:ascii="Calibri" w:eastAsia="Times New Roman" w:hAnsi="Calibri" w:cs="Times New Roman"/>
                <w:color w:val="000000" w:themeColor="text1"/>
                <w:sz w:val="22"/>
                <w:szCs w:val="22"/>
              </w:rPr>
              <w:t>SOL</w:t>
            </w:r>
          </w:p>
        </w:tc>
        <w:tc>
          <w:tcPr>
            <w:tcW w:w="1797" w:type="dxa"/>
            <w:tcBorders>
              <w:top w:val="single" w:sz="4" w:space="0" w:color="auto"/>
              <w:left w:val="single" w:sz="4" w:space="0" w:color="auto"/>
              <w:bottom w:val="single" w:sz="4" w:space="0" w:color="auto"/>
              <w:right w:val="single" w:sz="4" w:space="0" w:color="auto"/>
            </w:tcBorders>
            <w:noWrap/>
            <w:hideMark/>
          </w:tcPr>
          <w:p w14:paraId="40CA096C" w14:textId="77777777" w:rsidR="000074A3" w:rsidRPr="00197E92" w:rsidRDefault="00B83244" w:rsidP="004A35FF">
            <w:pPr>
              <w:rPr>
                <w:rFonts w:ascii="Calibri" w:hAnsi="Calibri"/>
                <w:color w:val="000000" w:themeColor="text1"/>
                <w:sz w:val="22"/>
                <w:szCs w:val="22"/>
              </w:rPr>
            </w:pPr>
            <w:r w:rsidRPr="00197E92">
              <w:rPr>
                <w:rFonts w:ascii="Calibri" w:hAnsi="Calibri"/>
                <w:color w:val="000000" w:themeColor="text1"/>
                <w:sz w:val="22"/>
                <w:szCs w:val="22"/>
                <w:lang w:val="es-VE"/>
              </w:rPr>
              <w:t>France</w:t>
            </w:r>
          </w:p>
        </w:tc>
      </w:tr>
      <w:tr w:rsidR="00B83244" w:rsidRPr="00197E92" w14:paraId="7AAAA97A" w14:textId="77777777" w:rsidTr="004A35FF">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035A5384" w14:textId="77777777" w:rsidR="00B83244" w:rsidRPr="00197E92" w:rsidRDefault="00B83244" w:rsidP="004A35FF">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3B42A7C0" w14:textId="77777777" w:rsidR="00B83244" w:rsidRPr="00197E92" w:rsidRDefault="00B83244" w:rsidP="004A35FF">
            <w:pPr>
              <w:rPr>
                <w:rFonts w:ascii="Calibri" w:eastAsia="Times New Roman" w:hAnsi="Calibri" w:cs="Times New Roman"/>
                <w:color w:val="000000" w:themeColor="text1"/>
                <w:sz w:val="22"/>
                <w:szCs w:val="22"/>
              </w:rPr>
            </w:pPr>
            <w:proofErr w:type="spellStart"/>
            <w:r w:rsidRPr="00E32C11">
              <w:rPr>
                <w:rFonts w:ascii="Calibri" w:eastAsia="Times New Roman" w:hAnsi="Calibri" w:cs="Times New Roman"/>
                <w:color w:val="000000" w:themeColor="text1"/>
                <w:sz w:val="22"/>
                <w:szCs w:val="22"/>
              </w:rPr>
              <w:t>Naturefriends</w:t>
            </w:r>
            <w:proofErr w:type="spellEnd"/>
          </w:p>
        </w:tc>
        <w:tc>
          <w:tcPr>
            <w:tcW w:w="1797" w:type="dxa"/>
            <w:tcBorders>
              <w:top w:val="single" w:sz="4" w:space="0" w:color="auto"/>
              <w:left w:val="single" w:sz="4" w:space="0" w:color="auto"/>
              <w:bottom w:val="single" w:sz="4" w:space="0" w:color="auto"/>
              <w:right w:val="single" w:sz="4" w:space="0" w:color="auto"/>
            </w:tcBorders>
            <w:noWrap/>
            <w:hideMark/>
          </w:tcPr>
          <w:p w14:paraId="072A3E74" w14:textId="77777777" w:rsidR="00B83244" w:rsidRPr="00197E92" w:rsidRDefault="00B83244" w:rsidP="004A35FF">
            <w:pPr>
              <w:rPr>
                <w:rFonts w:ascii="Calibri" w:hAnsi="Calibri"/>
                <w:color w:val="000000" w:themeColor="text1"/>
                <w:sz w:val="22"/>
                <w:szCs w:val="22"/>
              </w:rPr>
            </w:pPr>
            <w:r w:rsidRPr="00197E92">
              <w:rPr>
                <w:rFonts w:ascii="Calibri" w:hAnsi="Calibri"/>
                <w:color w:val="000000" w:themeColor="text1"/>
                <w:sz w:val="22"/>
                <w:szCs w:val="22"/>
              </w:rPr>
              <w:t>Greece</w:t>
            </w:r>
          </w:p>
        </w:tc>
      </w:tr>
      <w:tr w:rsidR="00366C49" w:rsidRPr="00197E92" w14:paraId="357C083B" w14:textId="77777777" w:rsidTr="004A35FF">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00349626" w14:textId="77777777" w:rsidR="00366C49" w:rsidRPr="00197E92" w:rsidRDefault="00366C49" w:rsidP="004A35FF">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7C70E7C6" w14:textId="77777777" w:rsidR="00366C49" w:rsidRPr="00197E92" w:rsidRDefault="00366C49" w:rsidP="004A35FF">
            <w:pPr>
              <w:rPr>
                <w:rFonts w:ascii="Calibri" w:eastAsia="Times New Roman" w:hAnsi="Calibri" w:cs="Times New Roman"/>
                <w:color w:val="000000" w:themeColor="text1"/>
                <w:sz w:val="22"/>
                <w:szCs w:val="22"/>
                <w:shd w:val="clear" w:color="auto" w:fill="FFFFFF"/>
              </w:rPr>
            </w:pPr>
            <w:r w:rsidRPr="00E32C11">
              <w:rPr>
                <w:rFonts w:ascii="Calibri" w:eastAsia="Times New Roman" w:hAnsi="Calibri" w:cs="Times New Roman"/>
                <w:color w:val="000000" w:themeColor="text1"/>
                <w:sz w:val="22"/>
                <w:szCs w:val="22"/>
                <w:shd w:val="clear" w:color="auto" w:fill="FFFFFF"/>
              </w:rPr>
              <w:t>IT for Change</w:t>
            </w:r>
          </w:p>
        </w:tc>
        <w:tc>
          <w:tcPr>
            <w:tcW w:w="1797" w:type="dxa"/>
            <w:tcBorders>
              <w:top w:val="single" w:sz="4" w:space="0" w:color="auto"/>
              <w:left w:val="single" w:sz="4" w:space="0" w:color="auto"/>
              <w:bottom w:val="single" w:sz="4" w:space="0" w:color="auto"/>
              <w:right w:val="single" w:sz="4" w:space="0" w:color="auto"/>
            </w:tcBorders>
            <w:noWrap/>
            <w:hideMark/>
          </w:tcPr>
          <w:p w14:paraId="12788B13" w14:textId="77777777" w:rsidR="00366C49" w:rsidRPr="00197E92" w:rsidRDefault="00366C49" w:rsidP="004A35FF">
            <w:pPr>
              <w:rPr>
                <w:rFonts w:ascii="Calibri" w:hAnsi="Calibri"/>
                <w:color w:val="000000" w:themeColor="text1"/>
                <w:sz w:val="22"/>
                <w:szCs w:val="22"/>
              </w:rPr>
            </w:pPr>
            <w:r w:rsidRPr="00197E92">
              <w:rPr>
                <w:rFonts w:ascii="Calibri" w:hAnsi="Calibri"/>
                <w:color w:val="000000" w:themeColor="text1"/>
                <w:sz w:val="22"/>
                <w:szCs w:val="22"/>
              </w:rPr>
              <w:t>India</w:t>
            </w:r>
          </w:p>
        </w:tc>
      </w:tr>
      <w:tr w:rsidR="00197E92" w:rsidRPr="00197E92" w14:paraId="516D2A43" w14:textId="77777777" w:rsidTr="00B83244">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72549F57" w14:textId="77777777" w:rsidR="00B83244" w:rsidRPr="00197E92" w:rsidRDefault="00B83244" w:rsidP="004A35FF">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3371B9A1" w14:textId="77777777" w:rsidR="00B83244" w:rsidRPr="00197E92" w:rsidRDefault="00366C49" w:rsidP="004A35FF">
            <w:pPr>
              <w:rPr>
                <w:rFonts w:ascii="Calibri" w:eastAsia="Times New Roman" w:hAnsi="Calibri" w:cs="Times New Roman"/>
                <w:color w:val="000000" w:themeColor="text1"/>
                <w:sz w:val="22"/>
                <w:szCs w:val="22"/>
                <w:shd w:val="clear" w:color="auto" w:fill="FFFFFF"/>
              </w:rPr>
            </w:pPr>
            <w:proofErr w:type="spellStart"/>
            <w:r>
              <w:rPr>
                <w:rFonts w:ascii="Calibri" w:eastAsia="Times New Roman" w:hAnsi="Calibri" w:cs="Times New Roman"/>
                <w:color w:val="000000" w:themeColor="text1"/>
                <w:sz w:val="22"/>
                <w:szCs w:val="22"/>
                <w:shd w:val="clear" w:color="auto" w:fill="FFFFFF"/>
              </w:rPr>
              <w:t>Fairwatch</w:t>
            </w:r>
            <w:proofErr w:type="spellEnd"/>
          </w:p>
        </w:tc>
        <w:tc>
          <w:tcPr>
            <w:tcW w:w="1797" w:type="dxa"/>
            <w:tcBorders>
              <w:top w:val="single" w:sz="4" w:space="0" w:color="auto"/>
              <w:left w:val="single" w:sz="4" w:space="0" w:color="auto"/>
              <w:bottom w:val="single" w:sz="4" w:space="0" w:color="auto"/>
              <w:right w:val="single" w:sz="4" w:space="0" w:color="auto"/>
            </w:tcBorders>
            <w:noWrap/>
            <w:hideMark/>
          </w:tcPr>
          <w:p w14:paraId="2CEB140E" w14:textId="77777777" w:rsidR="00B83244" w:rsidRPr="00197E92" w:rsidRDefault="00366C49" w:rsidP="004A35FF">
            <w:pPr>
              <w:rPr>
                <w:rFonts w:ascii="Calibri" w:hAnsi="Calibri"/>
                <w:color w:val="000000" w:themeColor="text1"/>
                <w:sz w:val="22"/>
                <w:szCs w:val="22"/>
              </w:rPr>
            </w:pPr>
            <w:r>
              <w:rPr>
                <w:rFonts w:ascii="Calibri" w:hAnsi="Calibri"/>
                <w:color w:val="000000" w:themeColor="text1"/>
                <w:sz w:val="22"/>
                <w:szCs w:val="22"/>
              </w:rPr>
              <w:t>Italy</w:t>
            </w:r>
          </w:p>
        </w:tc>
      </w:tr>
      <w:tr w:rsidR="00366C49" w:rsidRPr="00197E92" w14:paraId="378953D4" w14:textId="77777777" w:rsidTr="004A35FF">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63FB29A0" w14:textId="77777777" w:rsidR="00366C49" w:rsidRPr="00197E92" w:rsidRDefault="00366C49" w:rsidP="004A35FF">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3578BE6F" w14:textId="77777777" w:rsidR="00366C49" w:rsidRPr="00197E92" w:rsidRDefault="00366C49" w:rsidP="004A35FF">
            <w:pPr>
              <w:rPr>
                <w:rFonts w:ascii="Calibri" w:eastAsia="Times New Roman" w:hAnsi="Calibri" w:cs="Times New Roman"/>
                <w:color w:val="000000" w:themeColor="text1"/>
                <w:sz w:val="22"/>
                <w:szCs w:val="22"/>
                <w:shd w:val="clear" w:color="auto" w:fill="FFFFFF"/>
              </w:rPr>
            </w:pPr>
            <w:r w:rsidRPr="00366C49">
              <w:rPr>
                <w:rFonts w:ascii="Calibri" w:eastAsia="Times New Roman" w:hAnsi="Calibri" w:cs="Times New Roman"/>
                <w:color w:val="000000" w:themeColor="text1"/>
                <w:sz w:val="22"/>
                <w:szCs w:val="22"/>
                <w:shd w:val="clear" w:color="auto" w:fill="FFFFFF"/>
              </w:rPr>
              <w:t>Policy Analysis and Research Institute of Lesotho (PARIL)</w:t>
            </w:r>
          </w:p>
        </w:tc>
        <w:tc>
          <w:tcPr>
            <w:tcW w:w="1797" w:type="dxa"/>
            <w:tcBorders>
              <w:top w:val="single" w:sz="4" w:space="0" w:color="auto"/>
              <w:left w:val="single" w:sz="4" w:space="0" w:color="auto"/>
              <w:bottom w:val="single" w:sz="4" w:space="0" w:color="auto"/>
              <w:right w:val="single" w:sz="4" w:space="0" w:color="auto"/>
            </w:tcBorders>
            <w:noWrap/>
            <w:hideMark/>
          </w:tcPr>
          <w:p w14:paraId="742E83F5" w14:textId="77777777" w:rsidR="00366C49" w:rsidRPr="00197E92" w:rsidRDefault="00366C49" w:rsidP="004A35FF">
            <w:pPr>
              <w:rPr>
                <w:rFonts w:ascii="Calibri" w:hAnsi="Calibri"/>
                <w:color w:val="000000" w:themeColor="text1"/>
                <w:sz w:val="22"/>
                <w:szCs w:val="22"/>
              </w:rPr>
            </w:pPr>
            <w:r>
              <w:rPr>
                <w:rFonts w:ascii="Calibri" w:hAnsi="Calibri"/>
                <w:color w:val="000000" w:themeColor="text1"/>
                <w:sz w:val="22"/>
                <w:szCs w:val="22"/>
              </w:rPr>
              <w:t>Lesotho</w:t>
            </w:r>
          </w:p>
        </w:tc>
      </w:tr>
      <w:tr w:rsidR="00366C49" w:rsidRPr="00197E92" w14:paraId="06BC340D" w14:textId="77777777" w:rsidTr="004A35FF">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2A61AF61" w14:textId="77777777" w:rsidR="00366C49" w:rsidRPr="00197E92" w:rsidRDefault="00366C49" w:rsidP="004A35FF">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0091DB08" w14:textId="77777777" w:rsidR="00366C49" w:rsidRPr="00AD12EB" w:rsidRDefault="00366C49" w:rsidP="004A35FF">
            <w:pPr>
              <w:rPr>
                <w:rFonts w:ascii="Calibri" w:eastAsia="Times New Roman" w:hAnsi="Calibri" w:cs="Times New Roman"/>
                <w:color w:val="000000" w:themeColor="text1"/>
                <w:sz w:val="22"/>
                <w:szCs w:val="22"/>
                <w:shd w:val="clear" w:color="auto" w:fill="FFFFFF"/>
                <w:lang w:val="it-IT"/>
              </w:rPr>
            </w:pPr>
            <w:proofErr w:type="spellStart"/>
            <w:r w:rsidRPr="00AD12EB">
              <w:rPr>
                <w:rFonts w:ascii="Calibri" w:eastAsia="Times New Roman" w:hAnsi="Calibri" w:cs="Times New Roman"/>
                <w:color w:val="000000" w:themeColor="text1"/>
                <w:sz w:val="22"/>
                <w:szCs w:val="22"/>
                <w:shd w:val="clear" w:color="auto" w:fill="FFFFFF"/>
                <w:lang w:val="it-IT"/>
              </w:rPr>
              <w:t>Bia´lii</w:t>
            </w:r>
            <w:proofErr w:type="spellEnd"/>
            <w:r w:rsidRPr="00AD12EB">
              <w:rPr>
                <w:rFonts w:ascii="Calibri" w:eastAsia="Times New Roman" w:hAnsi="Calibri" w:cs="Times New Roman"/>
                <w:color w:val="000000" w:themeColor="text1"/>
                <w:sz w:val="22"/>
                <w:szCs w:val="22"/>
                <w:shd w:val="clear" w:color="auto" w:fill="FFFFFF"/>
                <w:lang w:val="it-IT"/>
              </w:rPr>
              <w:t xml:space="preserve">, </w:t>
            </w:r>
            <w:proofErr w:type="spellStart"/>
            <w:r w:rsidRPr="00AD12EB">
              <w:rPr>
                <w:rFonts w:ascii="Calibri" w:eastAsia="Times New Roman" w:hAnsi="Calibri" w:cs="Times New Roman"/>
                <w:color w:val="000000" w:themeColor="text1"/>
                <w:sz w:val="22"/>
                <w:szCs w:val="22"/>
                <w:shd w:val="clear" w:color="auto" w:fill="FFFFFF"/>
                <w:lang w:val="it-IT"/>
              </w:rPr>
              <w:t>Asesoría</w:t>
            </w:r>
            <w:proofErr w:type="spellEnd"/>
            <w:r w:rsidRPr="00AD12EB">
              <w:rPr>
                <w:rFonts w:ascii="Calibri" w:eastAsia="Times New Roman" w:hAnsi="Calibri" w:cs="Times New Roman"/>
                <w:color w:val="000000" w:themeColor="text1"/>
                <w:sz w:val="22"/>
                <w:szCs w:val="22"/>
                <w:shd w:val="clear" w:color="auto" w:fill="FFFFFF"/>
                <w:lang w:val="it-IT"/>
              </w:rPr>
              <w:t xml:space="preserve"> e </w:t>
            </w:r>
            <w:proofErr w:type="spellStart"/>
            <w:r w:rsidRPr="00AD12EB">
              <w:rPr>
                <w:rFonts w:ascii="Calibri" w:eastAsia="Times New Roman" w:hAnsi="Calibri" w:cs="Times New Roman"/>
                <w:color w:val="000000" w:themeColor="text1"/>
                <w:sz w:val="22"/>
                <w:szCs w:val="22"/>
                <w:shd w:val="clear" w:color="auto" w:fill="FFFFFF"/>
                <w:lang w:val="it-IT"/>
              </w:rPr>
              <w:t>Investigación</w:t>
            </w:r>
            <w:proofErr w:type="spellEnd"/>
            <w:r w:rsidRPr="00AD12EB">
              <w:rPr>
                <w:rFonts w:ascii="Calibri" w:eastAsia="Times New Roman" w:hAnsi="Calibri" w:cs="Times New Roman"/>
                <w:color w:val="000000" w:themeColor="text1"/>
                <w:sz w:val="22"/>
                <w:szCs w:val="22"/>
                <w:shd w:val="clear" w:color="auto" w:fill="FFFFFF"/>
                <w:lang w:val="it-IT"/>
              </w:rPr>
              <w:t>, A.C.</w:t>
            </w:r>
          </w:p>
        </w:tc>
        <w:tc>
          <w:tcPr>
            <w:tcW w:w="1797" w:type="dxa"/>
            <w:tcBorders>
              <w:top w:val="single" w:sz="4" w:space="0" w:color="auto"/>
              <w:left w:val="single" w:sz="4" w:space="0" w:color="auto"/>
              <w:bottom w:val="single" w:sz="4" w:space="0" w:color="auto"/>
              <w:right w:val="single" w:sz="4" w:space="0" w:color="auto"/>
            </w:tcBorders>
            <w:noWrap/>
            <w:hideMark/>
          </w:tcPr>
          <w:p w14:paraId="768C7D9F" w14:textId="77777777" w:rsidR="00366C49" w:rsidRPr="00197E92" w:rsidRDefault="00366C49" w:rsidP="004A35FF">
            <w:pPr>
              <w:rPr>
                <w:rFonts w:ascii="Calibri" w:hAnsi="Calibri"/>
                <w:color w:val="000000" w:themeColor="text1"/>
                <w:sz w:val="22"/>
                <w:szCs w:val="22"/>
              </w:rPr>
            </w:pPr>
            <w:r w:rsidRPr="00197E92">
              <w:rPr>
                <w:rFonts w:ascii="Calibri" w:hAnsi="Calibri"/>
                <w:color w:val="000000" w:themeColor="text1"/>
                <w:sz w:val="22"/>
                <w:szCs w:val="22"/>
              </w:rPr>
              <w:t>Mexico</w:t>
            </w:r>
          </w:p>
        </w:tc>
      </w:tr>
      <w:tr w:rsidR="00366C49" w:rsidRPr="00197E92" w14:paraId="060D97AB" w14:textId="77777777" w:rsidTr="004A35FF">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7D259C54" w14:textId="77777777" w:rsidR="00366C49" w:rsidRPr="00197E92" w:rsidRDefault="00366C49" w:rsidP="004A35FF">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26EB38E7" w14:textId="77777777" w:rsidR="00366C49" w:rsidRPr="00197E92" w:rsidRDefault="00366C49" w:rsidP="004A35FF">
            <w:pPr>
              <w:rPr>
                <w:rFonts w:ascii="Calibri" w:eastAsia="Times New Roman" w:hAnsi="Calibri" w:cs="Times New Roman"/>
                <w:color w:val="000000" w:themeColor="text1"/>
                <w:sz w:val="22"/>
                <w:szCs w:val="22"/>
                <w:shd w:val="clear" w:color="auto" w:fill="FFFFFF"/>
              </w:rPr>
            </w:pPr>
            <w:r w:rsidRPr="00366C49">
              <w:rPr>
                <w:rFonts w:ascii="Calibri" w:eastAsia="Times New Roman" w:hAnsi="Calibri" w:cs="Times New Roman"/>
                <w:color w:val="000000" w:themeColor="text1"/>
                <w:sz w:val="22"/>
                <w:szCs w:val="22"/>
                <w:shd w:val="clear" w:color="auto" w:fill="FFFFFF"/>
              </w:rPr>
              <w:t>Initiatives for Dialogue and Empowerment thro</w:t>
            </w:r>
            <w:r w:rsidR="008B0252">
              <w:rPr>
                <w:rFonts w:ascii="Calibri" w:eastAsia="Times New Roman" w:hAnsi="Calibri" w:cs="Times New Roman"/>
                <w:color w:val="000000" w:themeColor="text1"/>
                <w:sz w:val="22"/>
                <w:szCs w:val="22"/>
                <w:shd w:val="clear" w:color="auto" w:fill="FFFFFF"/>
              </w:rPr>
              <w:t xml:space="preserve">ugh Alternative Legal Services </w:t>
            </w:r>
            <w:r w:rsidRPr="00366C49">
              <w:rPr>
                <w:rFonts w:ascii="Calibri" w:eastAsia="Times New Roman" w:hAnsi="Calibri" w:cs="Times New Roman"/>
                <w:color w:val="000000" w:themeColor="text1"/>
                <w:sz w:val="22"/>
                <w:szCs w:val="22"/>
                <w:shd w:val="clear" w:color="auto" w:fill="FFFFFF"/>
              </w:rPr>
              <w:t>(IDEALS)</w:t>
            </w:r>
          </w:p>
        </w:tc>
        <w:tc>
          <w:tcPr>
            <w:tcW w:w="1797" w:type="dxa"/>
            <w:tcBorders>
              <w:top w:val="single" w:sz="4" w:space="0" w:color="auto"/>
              <w:left w:val="single" w:sz="4" w:space="0" w:color="auto"/>
              <w:bottom w:val="single" w:sz="4" w:space="0" w:color="auto"/>
              <w:right w:val="single" w:sz="4" w:space="0" w:color="auto"/>
            </w:tcBorders>
            <w:noWrap/>
            <w:hideMark/>
          </w:tcPr>
          <w:p w14:paraId="28F2CF76" w14:textId="77777777" w:rsidR="00366C49" w:rsidRPr="00197E92" w:rsidRDefault="00366C49" w:rsidP="00366C49">
            <w:pPr>
              <w:rPr>
                <w:rFonts w:ascii="Calibri" w:hAnsi="Calibri"/>
                <w:color w:val="000000" w:themeColor="text1"/>
                <w:sz w:val="22"/>
                <w:szCs w:val="22"/>
              </w:rPr>
            </w:pPr>
            <w:r>
              <w:rPr>
                <w:rFonts w:ascii="Calibri" w:hAnsi="Calibri"/>
                <w:color w:val="000000" w:themeColor="text1"/>
                <w:sz w:val="22"/>
                <w:szCs w:val="22"/>
              </w:rPr>
              <w:t>Philippines</w:t>
            </w:r>
          </w:p>
        </w:tc>
      </w:tr>
      <w:tr w:rsidR="00197E92" w:rsidRPr="00197E92" w14:paraId="6CFBB7FA" w14:textId="77777777" w:rsidTr="00B83244">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52803EA1" w14:textId="77777777" w:rsidR="00B83244" w:rsidRPr="00197E92" w:rsidRDefault="00B83244" w:rsidP="004A35FF">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1CEF9995" w14:textId="77777777" w:rsidR="00B83244" w:rsidRPr="00197E92" w:rsidRDefault="00366C49" w:rsidP="004A35FF">
            <w:pPr>
              <w:rPr>
                <w:rFonts w:ascii="Calibri" w:eastAsia="Times New Roman" w:hAnsi="Calibri" w:cs="Times New Roman"/>
                <w:color w:val="000000" w:themeColor="text1"/>
                <w:sz w:val="22"/>
                <w:szCs w:val="22"/>
                <w:shd w:val="clear" w:color="auto" w:fill="FFFFFF"/>
              </w:rPr>
            </w:pPr>
            <w:r w:rsidRPr="00366C49">
              <w:rPr>
                <w:rFonts w:ascii="Calibri" w:eastAsia="Times New Roman" w:hAnsi="Calibri" w:cs="Times New Roman"/>
                <w:color w:val="000000" w:themeColor="text1"/>
                <w:sz w:val="22"/>
                <w:szCs w:val="22"/>
                <w:shd w:val="clear" w:color="auto" w:fill="FFFFFF"/>
              </w:rPr>
              <w:t>Philippine Alliance of Human Rights Advocates (PAHRA)</w:t>
            </w:r>
          </w:p>
        </w:tc>
        <w:tc>
          <w:tcPr>
            <w:tcW w:w="1797" w:type="dxa"/>
            <w:tcBorders>
              <w:top w:val="single" w:sz="4" w:space="0" w:color="auto"/>
              <w:left w:val="single" w:sz="4" w:space="0" w:color="auto"/>
              <w:bottom w:val="single" w:sz="4" w:space="0" w:color="auto"/>
              <w:right w:val="single" w:sz="4" w:space="0" w:color="auto"/>
            </w:tcBorders>
            <w:noWrap/>
            <w:hideMark/>
          </w:tcPr>
          <w:p w14:paraId="2EE39C9B" w14:textId="77777777" w:rsidR="00B83244" w:rsidRPr="00197E92" w:rsidRDefault="00366C49" w:rsidP="004A35FF">
            <w:pPr>
              <w:rPr>
                <w:rFonts w:ascii="Calibri" w:hAnsi="Calibri"/>
                <w:color w:val="000000" w:themeColor="text1"/>
                <w:sz w:val="22"/>
                <w:szCs w:val="22"/>
              </w:rPr>
            </w:pPr>
            <w:r>
              <w:rPr>
                <w:rFonts w:ascii="Calibri" w:hAnsi="Calibri"/>
                <w:color w:val="000000" w:themeColor="text1"/>
                <w:sz w:val="22"/>
                <w:szCs w:val="22"/>
              </w:rPr>
              <w:t>Philippines</w:t>
            </w:r>
          </w:p>
        </w:tc>
      </w:tr>
      <w:tr w:rsidR="00197E92" w:rsidRPr="00197E92" w14:paraId="27B62E65" w14:textId="77777777" w:rsidTr="004A35FF">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0FCDF194" w14:textId="77777777" w:rsidR="00197E92" w:rsidRPr="00197E92" w:rsidRDefault="00197E92" w:rsidP="004A35FF">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6AB962B3" w14:textId="77777777" w:rsidR="00197E92" w:rsidRPr="00197E92" w:rsidRDefault="00197E92" w:rsidP="004A35FF">
            <w:pPr>
              <w:rPr>
                <w:rFonts w:ascii="Calibri" w:eastAsia="Times New Roman" w:hAnsi="Calibri" w:cs="Times New Roman"/>
                <w:color w:val="000000" w:themeColor="text1"/>
                <w:sz w:val="22"/>
                <w:szCs w:val="22"/>
              </w:rPr>
            </w:pPr>
            <w:r w:rsidRPr="00197E92">
              <w:rPr>
                <w:rFonts w:ascii="Calibri" w:eastAsia="Times New Roman" w:hAnsi="Calibri" w:cs="Times New Roman"/>
                <w:color w:val="000000" w:themeColor="text1"/>
                <w:sz w:val="22"/>
                <w:szCs w:val="22"/>
              </w:rPr>
              <w:t xml:space="preserve">Alliance </w:t>
            </w:r>
            <w:proofErr w:type="spellStart"/>
            <w:r w:rsidRPr="00197E92">
              <w:rPr>
                <w:rFonts w:ascii="Calibri" w:eastAsia="Times New Roman" w:hAnsi="Calibri" w:cs="Times New Roman"/>
                <w:color w:val="000000" w:themeColor="text1"/>
                <w:sz w:val="22"/>
                <w:szCs w:val="22"/>
              </w:rPr>
              <w:t>Sud</w:t>
            </w:r>
            <w:proofErr w:type="spellEnd"/>
          </w:p>
        </w:tc>
        <w:tc>
          <w:tcPr>
            <w:tcW w:w="1797" w:type="dxa"/>
            <w:tcBorders>
              <w:top w:val="single" w:sz="4" w:space="0" w:color="auto"/>
              <w:left w:val="single" w:sz="4" w:space="0" w:color="auto"/>
              <w:bottom w:val="single" w:sz="4" w:space="0" w:color="auto"/>
              <w:right w:val="single" w:sz="4" w:space="0" w:color="auto"/>
            </w:tcBorders>
            <w:noWrap/>
            <w:hideMark/>
          </w:tcPr>
          <w:p w14:paraId="650C661C" w14:textId="77777777" w:rsidR="00197E92" w:rsidRPr="00197E92" w:rsidRDefault="00197E92" w:rsidP="004A35FF">
            <w:pPr>
              <w:rPr>
                <w:rFonts w:ascii="Calibri" w:hAnsi="Calibri"/>
                <w:color w:val="000000" w:themeColor="text1"/>
                <w:sz w:val="22"/>
                <w:szCs w:val="22"/>
              </w:rPr>
            </w:pPr>
            <w:r w:rsidRPr="00197E92">
              <w:rPr>
                <w:rFonts w:ascii="Calibri" w:eastAsia="Times New Roman" w:hAnsi="Calibri" w:cs="Arial"/>
                <w:color w:val="000000" w:themeColor="text1"/>
                <w:sz w:val="22"/>
                <w:szCs w:val="22"/>
              </w:rPr>
              <w:t>Switzerland</w:t>
            </w:r>
          </w:p>
        </w:tc>
      </w:tr>
      <w:tr w:rsidR="00197E92" w:rsidRPr="00197E92" w14:paraId="653B9483" w14:textId="77777777" w:rsidTr="004A35FF">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131E9397" w14:textId="77777777" w:rsidR="00197E92" w:rsidRPr="00197E92" w:rsidRDefault="00197E92" w:rsidP="004A35FF">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1710B27E" w14:textId="77777777" w:rsidR="00197E92" w:rsidRPr="00197E92" w:rsidRDefault="00197E92" w:rsidP="004A35FF">
            <w:pPr>
              <w:rPr>
                <w:rFonts w:ascii="Calibri" w:eastAsia="Times New Roman" w:hAnsi="Calibri" w:cs="Times New Roman"/>
                <w:color w:val="000000" w:themeColor="text1"/>
                <w:sz w:val="22"/>
                <w:szCs w:val="22"/>
              </w:rPr>
            </w:pPr>
            <w:r w:rsidRPr="00197E92">
              <w:rPr>
                <w:rFonts w:ascii="Calibri" w:eastAsia="Times New Roman" w:hAnsi="Calibri" w:cs="Times New Roman"/>
                <w:color w:val="000000" w:themeColor="text1"/>
                <w:sz w:val="22"/>
                <w:szCs w:val="22"/>
              </w:rPr>
              <w:t>Association for Proper Internet Governance </w:t>
            </w:r>
          </w:p>
        </w:tc>
        <w:tc>
          <w:tcPr>
            <w:tcW w:w="1797" w:type="dxa"/>
            <w:tcBorders>
              <w:top w:val="single" w:sz="4" w:space="0" w:color="auto"/>
              <w:left w:val="single" w:sz="4" w:space="0" w:color="auto"/>
              <w:bottom w:val="single" w:sz="4" w:space="0" w:color="auto"/>
              <w:right w:val="single" w:sz="4" w:space="0" w:color="auto"/>
            </w:tcBorders>
            <w:noWrap/>
            <w:hideMark/>
          </w:tcPr>
          <w:p w14:paraId="769C4CCF" w14:textId="77777777" w:rsidR="00197E92" w:rsidRPr="00197E92" w:rsidRDefault="00197E92" w:rsidP="004A35FF">
            <w:pPr>
              <w:rPr>
                <w:rFonts w:ascii="Calibri" w:hAnsi="Calibri"/>
                <w:color w:val="000000" w:themeColor="text1"/>
                <w:sz w:val="22"/>
                <w:szCs w:val="22"/>
              </w:rPr>
            </w:pPr>
            <w:r w:rsidRPr="00197E92">
              <w:rPr>
                <w:rFonts w:ascii="Calibri" w:eastAsia="Times New Roman" w:hAnsi="Calibri" w:cs="Arial"/>
                <w:color w:val="000000" w:themeColor="text1"/>
                <w:sz w:val="22"/>
                <w:szCs w:val="22"/>
              </w:rPr>
              <w:t>Switzerland</w:t>
            </w:r>
          </w:p>
        </w:tc>
      </w:tr>
      <w:tr w:rsidR="00197E92" w:rsidRPr="00197E92" w14:paraId="5B8F2186" w14:textId="77777777" w:rsidTr="004A35FF">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39BD5469" w14:textId="77777777" w:rsidR="00B83244" w:rsidRPr="00197E92" w:rsidRDefault="00B83244" w:rsidP="004A35FF">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2F5C0C6C" w14:textId="77777777" w:rsidR="00B83244" w:rsidRPr="00197E92" w:rsidRDefault="00B83244" w:rsidP="00B83244">
            <w:pPr>
              <w:rPr>
                <w:rFonts w:ascii="Calibri" w:eastAsia="Times New Roman" w:hAnsi="Calibri" w:cs="Times New Roman"/>
                <w:color w:val="000000" w:themeColor="text1"/>
                <w:sz w:val="22"/>
                <w:szCs w:val="22"/>
              </w:rPr>
            </w:pPr>
            <w:r w:rsidRPr="00E32C11">
              <w:rPr>
                <w:rFonts w:ascii="Calibri" w:eastAsia="Times New Roman" w:hAnsi="Calibri" w:cs="Arial"/>
                <w:color w:val="000000" w:themeColor="text1"/>
                <w:sz w:val="22"/>
                <w:szCs w:val="22"/>
              </w:rPr>
              <w:t>Public Eye</w:t>
            </w:r>
          </w:p>
        </w:tc>
        <w:tc>
          <w:tcPr>
            <w:tcW w:w="1797" w:type="dxa"/>
            <w:tcBorders>
              <w:top w:val="single" w:sz="4" w:space="0" w:color="auto"/>
              <w:left w:val="single" w:sz="4" w:space="0" w:color="auto"/>
              <w:bottom w:val="single" w:sz="4" w:space="0" w:color="auto"/>
              <w:right w:val="single" w:sz="4" w:space="0" w:color="auto"/>
            </w:tcBorders>
            <w:noWrap/>
            <w:hideMark/>
          </w:tcPr>
          <w:p w14:paraId="795561A0" w14:textId="77777777" w:rsidR="00B83244" w:rsidRPr="00197E92" w:rsidRDefault="00B83244" w:rsidP="004A35FF">
            <w:pPr>
              <w:rPr>
                <w:rFonts w:ascii="Calibri" w:hAnsi="Calibri"/>
                <w:color w:val="000000" w:themeColor="text1"/>
                <w:sz w:val="22"/>
                <w:szCs w:val="22"/>
              </w:rPr>
            </w:pPr>
            <w:r w:rsidRPr="00197E92">
              <w:rPr>
                <w:rFonts w:ascii="Calibri" w:eastAsia="Times New Roman" w:hAnsi="Calibri" w:cs="Arial"/>
                <w:color w:val="000000" w:themeColor="text1"/>
                <w:sz w:val="22"/>
                <w:szCs w:val="22"/>
              </w:rPr>
              <w:t>Switzerland</w:t>
            </w:r>
          </w:p>
        </w:tc>
      </w:tr>
      <w:tr w:rsidR="00197E92" w:rsidRPr="00197E92" w14:paraId="6B2E75E5" w14:textId="77777777" w:rsidTr="004A35FF">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1D05E8D3" w14:textId="77777777" w:rsidR="00197E92" w:rsidRPr="00197E92" w:rsidRDefault="00197E92" w:rsidP="004A35FF">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06C1A3A6" w14:textId="77777777" w:rsidR="00197E92" w:rsidRPr="00197E92" w:rsidRDefault="00197E92" w:rsidP="004A35FF">
            <w:pPr>
              <w:rPr>
                <w:rFonts w:ascii="Calibri" w:eastAsia="Times New Roman" w:hAnsi="Calibri" w:cs="Times New Roman"/>
                <w:color w:val="000000" w:themeColor="text1"/>
                <w:sz w:val="22"/>
                <w:szCs w:val="22"/>
              </w:rPr>
            </w:pPr>
            <w:r w:rsidRPr="00197E92">
              <w:rPr>
                <w:rFonts w:ascii="Calibri" w:hAnsi="Calibri"/>
                <w:color w:val="000000" w:themeColor="text1"/>
                <w:sz w:val="22"/>
                <w:szCs w:val="22"/>
              </w:rPr>
              <w:t>Southern and Eastern African Trade Information and Negotiations Institute (SEATINI)</w:t>
            </w:r>
          </w:p>
        </w:tc>
        <w:tc>
          <w:tcPr>
            <w:tcW w:w="1797" w:type="dxa"/>
            <w:tcBorders>
              <w:top w:val="single" w:sz="4" w:space="0" w:color="auto"/>
              <w:left w:val="single" w:sz="4" w:space="0" w:color="auto"/>
              <w:bottom w:val="single" w:sz="4" w:space="0" w:color="auto"/>
              <w:right w:val="single" w:sz="4" w:space="0" w:color="auto"/>
            </w:tcBorders>
            <w:noWrap/>
            <w:hideMark/>
          </w:tcPr>
          <w:p w14:paraId="4DAFC53C" w14:textId="77777777" w:rsidR="00197E92" w:rsidRPr="00197E92" w:rsidRDefault="00197E92" w:rsidP="004A35FF">
            <w:pPr>
              <w:rPr>
                <w:rFonts w:ascii="Calibri" w:hAnsi="Calibri"/>
                <w:color w:val="000000" w:themeColor="text1"/>
                <w:sz w:val="22"/>
                <w:szCs w:val="22"/>
              </w:rPr>
            </w:pPr>
            <w:r w:rsidRPr="00197E92">
              <w:rPr>
                <w:rFonts w:ascii="Calibri" w:eastAsia="Times New Roman" w:hAnsi="Calibri" w:cs="Arial"/>
                <w:color w:val="000000" w:themeColor="text1"/>
                <w:sz w:val="22"/>
                <w:szCs w:val="22"/>
              </w:rPr>
              <w:t>Uganda</w:t>
            </w:r>
          </w:p>
        </w:tc>
      </w:tr>
      <w:tr w:rsidR="00197E92" w:rsidRPr="00197E92" w14:paraId="7EAF82D8" w14:textId="77777777" w:rsidTr="00B83244">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706DCFFE" w14:textId="77777777" w:rsidR="00B83244" w:rsidRPr="00197E92" w:rsidRDefault="00B83244" w:rsidP="004A35FF">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3FD14294" w14:textId="77777777" w:rsidR="00B83244" w:rsidRPr="00197E92" w:rsidRDefault="00B83244" w:rsidP="00B83244">
            <w:pPr>
              <w:rPr>
                <w:rFonts w:ascii="Calibri" w:eastAsia="Times New Roman" w:hAnsi="Calibri" w:cs="Times New Roman"/>
                <w:color w:val="000000" w:themeColor="text1"/>
                <w:sz w:val="22"/>
                <w:szCs w:val="22"/>
                <w:shd w:val="clear" w:color="auto" w:fill="FFFFFF"/>
              </w:rPr>
            </w:pPr>
            <w:proofErr w:type="spellStart"/>
            <w:r w:rsidRPr="00E32C11">
              <w:rPr>
                <w:rFonts w:ascii="Calibri" w:eastAsia="Times New Roman" w:hAnsi="Calibri" w:cs="Times New Roman"/>
                <w:color w:val="000000" w:themeColor="text1"/>
                <w:sz w:val="22"/>
                <w:szCs w:val="22"/>
              </w:rPr>
              <w:t>Instituto</w:t>
            </w:r>
            <w:proofErr w:type="spellEnd"/>
            <w:r w:rsidRPr="00E32C11">
              <w:rPr>
                <w:rFonts w:ascii="Calibri" w:eastAsia="Times New Roman" w:hAnsi="Calibri" w:cs="Times New Roman"/>
                <w:color w:val="000000" w:themeColor="text1"/>
                <w:sz w:val="22"/>
                <w:szCs w:val="22"/>
              </w:rPr>
              <w:t xml:space="preserve"> del </w:t>
            </w:r>
            <w:proofErr w:type="spellStart"/>
            <w:r w:rsidRPr="00E32C11">
              <w:rPr>
                <w:rFonts w:ascii="Calibri" w:eastAsia="Times New Roman" w:hAnsi="Calibri" w:cs="Times New Roman"/>
                <w:color w:val="000000" w:themeColor="text1"/>
                <w:sz w:val="22"/>
                <w:szCs w:val="22"/>
              </w:rPr>
              <w:t>tercer</w:t>
            </w:r>
            <w:proofErr w:type="spellEnd"/>
            <w:r w:rsidRPr="00E32C11">
              <w:rPr>
                <w:rFonts w:ascii="Calibri" w:eastAsia="Times New Roman" w:hAnsi="Calibri" w:cs="Times New Roman"/>
                <w:color w:val="000000" w:themeColor="text1"/>
                <w:sz w:val="22"/>
                <w:szCs w:val="22"/>
              </w:rPr>
              <w:t xml:space="preserve"> </w:t>
            </w:r>
            <w:proofErr w:type="spellStart"/>
            <w:r w:rsidRPr="00E32C11">
              <w:rPr>
                <w:rFonts w:ascii="Calibri" w:eastAsia="Times New Roman" w:hAnsi="Calibri" w:cs="Times New Roman"/>
                <w:color w:val="000000" w:themeColor="text1"/>
                <w:sz w:val="22"/>
                <w:szCs w:val="22"/>
              </w:rPr>
              <w:t>Mundo</w:t>
            </w:r>
            <w:proofErr w:type="spellEnd"/>
          </w:p>
        </w:tc>
        <w:tc>
          <w:tcPr>
            <w:tcW w:w="1797" w:type="dxa"/>
            <w:tcBorders>
              <w:top w:val="single" w:sz="4" w:space="0" w:color="auto"/>
              <w:left w:val="single" w:sz="4" w:space="0" w:color="auto"/>
              <w:bottom w:val="single" w:sz="4" w:space="0" w:color="auto"/>
              <w:right w:val="single" w:sz="4" w:space="0" w:color="auto"/>
            </w:tcBorders>
            <w:noWrap/>
            <w:hideMark/>
          </w:tcPr>
          <w:p w14:paraId="59F3F29E" w14:textId="77777777" w:rsidR="00B83244" w:rsidRPr="00197E92" w:rsidRDefault="00B83244" w:rsidP="004A35FF">
            <w:pPr>
              <w:rPr>
                <w:rFonts w:ascii="Calibri" w:hAnsi="Calibri"/>
                <w:color w:val="000000" w:themeColor="text1"/>
                <w:sz w:val="22"/>
                <w:szCs w:val="22"/>
              </w:rPr>
            </w:pPr>
            <w:r w:rsidRPr="00197E92">
              <w:rPr>
                <w:rFonts w:ascii="Calibri" w:hAnsi="Calibri"/>
                <w:color w:val="000000" w:themeColor="text1"/>
                <w:sz w:val="22"/>
                <w:szCs w:val="22"/>
              </w:rPr>
              <w:t>Uruguay</w:t>
            </w:r>
          </w:p>
        </w:tc>
      </w:tr>
    </w:tbl>
    <w:p w14:paraId="2E3B8471" w14:textId="77777777" w:rsidR="00E32C11" w:rsidRPr="00197E92" w:rsidRDefault="00E32C11" w:rsidP="00E32C11">
      <w:pPr>
        <w:rPr>
          <w:rFonts w:ascii="Calibri" w:eastAsia="Times New Roman" w:hAnsi="Calibri" w:cs="Arial"/>
          <w:color w:val="000000" w:themeColor="text1"/>
          <w:sz w:val="22"/>
          <w:szCs w:val="22"/>
        </w:rPr>
      </w:pPr>
    </w:p>
    <w:p w14:paraId="3C54B326" w14:textId="77777777" w:rsidR="00E32C11" w:rsidRPr="00197E92" w:rsidRDefault="00E32C11" w:rsidP="00F8129F">
      <w:pPr>
        <w:rPr>
          <w:rFonts w:ascii="Calibri" w:hAnsi="Calibri"/>
          <w:color w:val="000000" w:themeColor="text1"/>
          <w:sz w:val="22"/>
          <w:szCs w:val="22"/>
          <w:lang w:val="es-VE"/>
        </w:rPr>
      </w:pPr>
    </w:p>
    <w:p w14:paraId="18699951" w14:textId="77777777" w:rsidR="0017180D" w:rsidRPr="00943481" w:rsidRDefault="0017180D" w:rsidP="0017180D">
      <w:pPr>
        <w:rPr>
          <w:rFonts w:eastAsia="Times New Roman" w:cs="Times New Roman"/>
          <w:sz w:val="22"/>
          <w:szCs w:val="22"/>
          <w:lang w:val="es-VE"/>
        </w:rPr>
      </w:pPr>
    </w:p>
    <w:sectPr w:rsidR="0017180D" w:rsidRPr="00943481" w:rsidSect="000551A0">
      <w:footerReference w:type="default" r:id="rId10"/>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D45F5" w14:textId="77777777" w:rsidR="0051058D" w:rsidRDefault="0051058D" w:rsidP="000551A0">
      <w:r>
        <w:separator/>
      </w:r>
    </w:p>
  </w:endnote>
  <w:endnote w:type="continuationSeparator" w:id="0">
    <w:p w14:paraId="77E7467C" w14:textId="77777777" w:rsidR="0051058D" w:rsidRDefault="0051058D" w:rsidP="0005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4DC2" w14:textId="77777777" w:rsidR="00F15672" w:rsidRDefault="00F15672" w:rsidP="00A302A7">
    <w:pPr>
      <w:pStyle w:val="Footer"/>
      <w:tabs>
        <w:tab w:val="clear" w:pos="9360"/>
        <w:tab w:val="right" w:pos="10440"/>
      </w:tabs>
      <w:jc w:val="right"/>
      <w:rPr>
        <w:sz w:val="20"/>
        <w:szCs w:val="20"/>
      </w:rPr>
    </w:pPr>
    <w:r w:rsidRPr="008C319A">
      <w:rPr>
        <w:sz w:val="20"/>
        <w:szCs w:val="20"/>
      </w:rPr>
      <w:t xml:space="preserve"> </w:t>
    </w:r>
  </w:p>
  <w:p w14:paraId="4295D86E" w14:textId="77777777" w:rsidR="00F15672" w:rsidRPr="008C319A" w:rsidRDefault="00F15672" w:rsidP="00A302A7">
    <w:pPr>
      <w:pStyle w:val="Footer"/>
      <w:tabs>
        <w:tab w:val="clear" w:pos="9360"/>
        <w:tab w:val="right" w:pos="10440"/>
      </w:tabs>
      <w:jc w:val="right"/>
      <w:rPr>
        <w:sz w:val="20"/>
        <w:szCs w:val="20"/>
      </w:rPr>
    </w:pPr>
    <w:r w:rsidRPr="008C319A">
      <w:rPr>
        <w:sz w:val="20"/>
        <w:szCs w:val="20"/>
      </w:rPr>
      <w:t xml:space="preserve">Letter from Global Civil Society on the Agenda for the MC11 of the WTO, p </w:t>
    </w:r>
    <w:sdt>
      <w:sdtPr>
        <w:rPr>
          <w:sz w:val="20"/>
          <w:szCs w:val="20"/>
        </w:rPr>
        <w:id w:val="699288944"/>
        <w:docPartObj>
          <w:docPartGallery w:val="Page Numbers (Bottom of Page)"/>
          <w:docPartUnique/>
        </w:docPartObj>
      </w:sdtPr>
      <w:sdtEndPr>
        <w:rPr>
          <w:noProof/>
        </w:rPr>
      </w:sdtEndPr>
      <w:sdtContent>
        <w:r w:rsidRPr="008C319A">
          <w:rPr>
            <w:sz w:val="20"/>
            <w:szCs w:val="20"/>
          </w:rPr>
          <w:fldChar w:fldCharType="begin"/>
        </w:r>
        <w:r w:rsidRPr="008C319A">
          <w:rPr>
            <w:sz w:val="20"/>
            <w:szCs w:val="20"/>
          </w:rPr>
          <w:instrText xml:space="preserve"> PAGE   \* MERGEFORMAT </w:instrText>
        </w:r>
        <w:r w:rsidRPr="008C319A">
          <w:rPr>
            <w:sz w:val="20"/>
            <w:szCs w:val="20"/>
          </w:rPr>
          <w:fldChar w:fldCharType="separate"/>
        </w:r>
        <w:r w:rsidR="001301E1">
          <w:rPr>
            <w:noProof/>
            <w:sz w:val="20"/>
            <w:szCs w:val="20"/>
          </w:rPr>
          <w:t>2</w:t>
        </w:r>
        <w:r w:rsidRPr="008C319A">
          <w:rPr>
            <w:noProof/>
            <w:sz w:val="20"/>
            <w:szCs w:val="20"/>
          </w:rPr>
          <w:fldChar w:fldCharType="end"/>
        </w:r>
        <w:r w:rsidRPr="008C319A">
          <w:rPr>
            <w:noProof/>
            <w:sz w:val="20"/>
            <w:szCs w:val="20"/>
          </w:rPr>
          <w: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A364" w14:textId="77777777" w:rsidR="0051058D" w:rsidRDefault="0051058D" w:rsidP="000551A0">
      <w:r>
        <w:separator/>
      </w:r>
    </w:p>
  </w:footnote>
  <w:footnote w:type="continuationSeparator" w:id="0">
    <w:p w14:paraId="30CF2EFD" w14:textId="77777777" w:rsidR="0051058D" w:rsidRDefault="0051058D" w:rsidP="000551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D53D9"/>
    <w:multiLevelType w:val="hybridMultilevel"/>
    <w:tmpl w:val="E5F6A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3DD3750"/>
    <w:multiLevelType w:val="hybridMultilevel"/>
    <w:tmpl w:val="49A4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38"/>
    <w:rsid w:val="000074A3"/>
    <w:rsid w:val="000167CD"/>
    <w:rsid w:val="00041E58"/>
    <w:rsid w:val="00054784"/>
    <w:rsid w:val="000551A0"/>
    <w:rsid w:val="00081522"/>
    <w:rsid w:val="000948C2"/>
    <w:rsid w:val="00095016"/>
    <w:rsid w:val="000976CF"/>
    <w:rsid w:val="000B0A88"/>
    <w:rsid w:val="000B22F7"/>
    <w:rsid w:val="000B4A24"/>
    <w:rsid w:val="001151A8"/>
    <w:rsid w:val="00124A3D"/>
    <w:rsid w:val="001301E1"/>
    <w:rsid w:val="0014753A"/>
    <w:rsid w:val="00154DA7"/>
    <w:rsid w:val="00157561"/>
    <w:rsid w:val="0017023F"/>
    <w:rsid w:val="0017180D"/>
    <w:rsid w:val="00175B1A"/>
    <w:rsid w:val="00191A8B"/>
    <w:rsid w:val="00197E92"/>
    <w:rsid w:val="001C1CB5"/>
    <w:rsid w:val="001C4533"/>
    <w:rsid w:val="001E7123"/>
    <w:rsid w:val="00201C73"/>
    <w:rsid w:val="00224013"/>
    <w:rsid w:val="0022402E"/>
    <w:rsid w:val="0023515D"/>
    <w:rsid w:val="00236622"/>
    <w:rsid w:val="00243E41"/>
    <w:rsid w:val="00264938"/>
    <w:rsid w:val="00265E14"/>
    <w:rsid w:val="00273376"/>
    <w:rsid w:val="00280CC7"/>
    <w:rsid w:val="002F26AF"/>
    <w:rsid w:val="00335F8F"/>
    <w:rsid w:val="00342A54"/>
    <w:rsid w:val="00366C49"/>
    <w:rsid w:val="00387608"/>
    <w:rsid w:val="00395D46"/>
    <w:rsid w:val="003A02CF"/>
    <w:rsid w:val="003B4210"/>
    <w:rsid w:val="003E5EC5"/>
    <w:rsid w:val="00405E9E"/>
    <w:rsid w:val="00424497"/>
    <w:rsid w:val="0043614C"/>
    <w:rsid w:val="00446920"/>
    <w:rsid w:val="00460DB1"/>
    <w:rsid w:val="00475DF2"/>
    <w:rsid w:val="00475FB3"/>
    <w:rsid w:val="004A15B5"/>
    <w:rsid w:val="004A35FF"/>
    <w:rsid w:val="004B64B5"/>
    <w:rsid w:val="004D011D"/>
    <w:rsid w:val="004D2F82"/>
    <w:rsid w:val="004F0165"/>
    <w:rsid w:val="00504313"/>
    <w:rsid w:val="00506046"/>
    <w:rsid w:val="0051058D"/>
    <w:rsid w:val="00514ADE"/>
    <w:rsid w:val="00524CA6"/>
    <w:rsid w:val="005870C3"/>
    <w:rsid w:val="00587F8D"/>
    <w:rsid w:val="00592605"/>
    <w:rsid w:val="005A2DE8"/>
    <w:rsid w:val="005A6CA0"/>
    <w:rsid w:val="005C7841"/>
    <w:rsid w:val="005F18D6"/>
    <w:rsid w:val="00603A54"/>
    <w:rsid w:val="00637C38"/>
    <w:rsid w:val="00675847"/>
    <w:rsid w:val="006A0C15"/>
    <w:rsid w:val="006A51F1"/>
    <w:rsid w:val="006B0BF8"/>
    <w:rsid w:val="006B2E45"/>
    <w:rsid w:val="006E09A8"/>
    <w:rsid w:val="007023C0"/>
    <w:rsid w:val="00705F9F"/>
    <w:rsid w:val="007121FF"/>
    <w:rsid w:val="00736A57"/>
    <w:rsid w:val="00743FC2"/>
    <w:rsid w:val="00744FCB"/>
    <w:rsid w:val="00750324"/>
    <w:rsid w:val="0076184B"/>
    <w:rsid w:val="00777A16"/>
    <w:rsid w:val="00794B2B"/>
    <w:rsid w:val="007B28B5"/>
    <w:rsid w:val="007B6B54"/>
    <w:rsid w:val="00807552"/>
    <w:rsid w:val="00816243"/>
    <w:rsid w:val="00850A2F"/>
    <w:rsid w:val="00863B8F"/>
    <w:rsid w:val="00884362"/>
    <w:rsid w:val="0089379F"/>
    <w:rsid w:val="008A318E"/>
    <w:rsid w:val="008B0252"/>
    <w:rsid w:val="008B037D"/>
    <w:rsid w:val="008B589C"/>
    <w:rsid w:val="008C0A83"/>
    <w:rsid w:val="008C319A"/>
    <w:rsid w:val="008C6150"/>
    <w:rsid w:val="008F4E8B"/>
    <w:rsid w:val="00913AEA"/>
    <w:rsid w:val="0092080F"/>
    <w:rsid w:val="00920DC8"/>
    <w:rsid w:val="0092735D"/>
    <w:rsid w:val="00943481"/>
    <w:rsid w:val="009628EC"/>
    <w:rsid w:val="0096542B"/>
    <w:rsid w:val="0097374E"/>
    <w:rsid w:val="009B373E"/>
    <w:rsid w:val="009B5A2A"/>
    <w:rsid w:val="009C0C78"/>
    <w:rsid w:val="009D6BC2"/>
    <w:rsid w:val="009E3F0E"/>
    <w:rsid w:val="00A0277F"/>
    <w:rsid w:val="00A302A7"/>
    <w:rsid w:val="00A41BE4"/>
    <w:rsid w:val="00A540DE"/>
    <w:rsid w:val="00A70E67"/>
    <w:rsid w:val="00A808A3"/>
    <w:rsid w:val="00AB3575"/>
    <w:rsid w:val="00AC15E1"/>
    <w:rsid w:val="00AC1DB7"/>
    <w:rsid w:val="00AC3DED"/>
    <w:rsid w:val="00AD12EB"/>
    <w:rsid w:val="00AD7DB6"/>
    <w:rsid w:val="00AF066F"/>
    <w:rsid w:val="00AF1C12"/>
    <w:rsid w:val="00AF3493"/>
    <w:rsid w:val="00AF40B0"/>
    <w:rsid w:val="00AF6668"/>
    <w:rsid w:val="00B336C6"/>
    <w:rsid w:val="00B375DB"/>
    <w:rsid w:val="00B502CF"/>
    <w:rsid w:val="00B5192A"/>
    <w:rsid w:val="00B738B8"/>
    <w:rsid w:val="00B73D6E"/>
    <w:rsid w:val="00B75335"/>
    <w:rsid w:val="00B806DB"/>
    <w:rsid w:val="00B83244"/>
    <w:rsid w:val="00B93457"/>
    <w:rsid w:val="00BA5CD4"/>
    <w:rsid w:val="00BA7E65"/>
    <w:rsid w:val="00BC1183"/>
    <w:rsid w:val="00BD5CAD"/>
    <w:rsid w:val="00BD6641"/>
    <w:rsid w:val="00BE2A79"/>
    <w:rsid w:val="00BF2634"/>
    <w:rsid w:val="00C007D1"/>
    <w:rsid w:val="00C0598B"/>
    <w:rsid w:val="00C7181C"/>
    <w:rsid w:val="00C7690C"/>
    <w:rsid w:val="00C84A16"/>
    <w:rsid w:val="00C9330C"/>
    <w:rsid w:val="00CA3BE9"/>
    <w:rsid w:val="00CA49D5"/>
    <w:rsid w:val="00CF7F26"/>
    <w:rsid w:val="00D17B13"/>
    <w:rsid w:val="00D2714F"/>
    <w:rsid w:val="00D6266E"/>
    <w:rsid w:val="00D8747E"/>
    <w:rsid w:val="00DA1FEB"/>
    <w:rsid w:val="00DC1D75"/>
    <w:rsid w:val="00DE40DA"/>
    <w:rsid w:val="00DF1818"/>
    <w:rsid w:val="00E12577"/>
    <w:rsid w:val="00E157FB"/>
    <w:rsid w:val="00E32C11"/>
    <w:rsid w:val="00E334A2"/>
    <w:rsid w:val="00E93DD4"/>
    <w:rsid w:val="00EA092B"/>
    <w:rsid w:val="00EB7776"/>
    <w:rsid w:val="00EC28D8"/>
    <w:rsid w:val="00ED2B8C"/>
    <w:rsid w:val="00EE6A15"/>
    <w:rsid w:val="00F15672"/>
    <w:rsid w:val="00F32721"/>
    <w:rsid w:val="00F8129F"/>
    <w:rsid w:val="00F81FC7"/>
    <w:rsid w:val="00FA4EF2"/>
    <w:rsid w:val="00FC2C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769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7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129F"/>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qFormat/>
    <w:rsid w:val="00F8129F"/>
    <w:rPr>
      <w:color w:val="0563C1" w:themeColor="hyperlink"/>
      <w:u w:val="single"/>
    </w:rPr>
  </w:style>
  <w:style w:type="paragraph" w:styleId="Header">
    <w:name w:val="header"/>
    <w:basedOn w:val="Normal"/>
    <w:link w:val="HeaderChar"/>
    <w:uiPriority w:val="99"/>
    <w:unhideWhenUsed/>
    <w:rsid w:val="000551A0"/>
    <w:pPr>
      <w:tabs>
        <w:tab w:val="center" w:pos="4680"/>
        <w:tab w:val="right" w:pos="9360"/>
      </w:tabs>
    </w:pPr>
  </w:style>
  <w:style w:type="character" w:customStyle="1" w:styleId="HeaderChar">
    <w:name w:val="Header Char"/>
    <w:basedOn w:val="DefaultParagraphFont"/>
    <w:link w:val="Header"/>
    <w:uiPriority w:val="99"/>
    <w:rsid w:val="000551A0"/>
  </w:style>
  <w:style w:type="paragraph" w:styleId="Footer">
    <w:name w:val="footer"/>
    <w:basedOn w:val="Normal"/>
    <w:link w:val="FooterChar"/>
    <w:uiPriority w:val="99"/>
    <w:unhideWhenUsed/>
    <w:rsid w:val="000551A0"/>
    <w:pPr>
      <w:tabs>
        <w:tab w:val="center" w:pos="4680"/>
        <w:tab w:val="right" w:pos="9360"/>
      </w:tabs>
    </w:pPr>
  </w:style>
  <w:style w:type="character" w:customStyle="1" w:styleId="FooterChar">
    <w:name w:val="Footer Char"/>
    <w:basedOn w:val="DefaultParagraphFont"/>
    <w:link w:val="Footer"/>
    <w:uiPriority w:val="99"/>
    <w:rsid w:val="000551A0"/>
  </w:style>
  <w:style w:type="paragraph" w:styleId="ListParagraph">
    <w:name w:val="List Paragraph"/>
    <w:basedOn w:val="Normal"/>
    <w:uiPriority w:val="34"/>
    <w:qFormat/>
    <w:rsid w:val="00175B1A"/>
    <w:pPr>
      <w:ind w:left="720"/>
      <w:contextualSpacing/>
    </w:pPr>
  </w:style>
  <w:style w:type="paragraph" w:styleId="BalloonText">
    <w:name w:val="Balloon Text"/>
    <w:basedOn w:val="Normal"/>
    <w:link w:val="BalloonTextChar"/>
    <w:uiPriority w:val="99"/>
    <w:semiHidden/>
    <w:unhideWhenUsed/>
    <w:rsid w:val="000B4A24"/>
    <w:rPr>
      <w:rFonts w:ascii="Tahoma" w:hAnsi="Tahoma" w:cs="Tahoma"/>
      <w:sz w:val="16"/>
      <w:szCs w:val="16"/>
    </w:rPr>
  </w:style>
  <w:style w:type="character" w:customStyle="1" w:styleId="BalloonTextChar">
    <w:name w:val="Balloon Text Char"/>
    <w:basedOn w:val="DefaultParagraphFont"/>
    <w:link w:val="BalloonText"/>
    <w:uiPriority w:val="99"/>
    <w:semiHidden/>
    <w:rsid w:val="000B4A24"/>
    <w:rPr>
      <w:rFonts w:ascii="Tahoma" w:hAnsi="Tahoma" w:cs="Tahoma"/>
      <w:sz w:val="16"/>
      <w:szCs w:val="16"/>
    </w:rPr>
  </w:style>
  <w:style w:type="character" w:styleId="CommentReference">
    <w:name w:val="annotation reference"/>
    <w:basedOn w:val="DefaultParagraphFont"/>
    <w:uiPriority w:val="99"/>
    <w:semiHidden/>
    <w:unhideWhenUsed/>
    <w:rsid w:val="000B4A24"/>
    <w:rPr>
      <w:sz w:val="16"/>
      <w:szCs w:val="16"/>
    </w:rPr>
  </w:style>
  <w:style w:type="paragraph" w:styleId="CommentText">
    <w:name w:val="annotation text"/>
    <w:basedOn w:val="Normal"/>
    <w:link w:val="CommentTextChar"/>
    <w:uiPriority w:val="99"/>
    <w:semiHidden/>
    <w:unhideWhenUsed/>
    <w:rsid w:val="000B4A24"/>
    <w:rPr>
      <w:sz w:val="20"/>
      <w:szCs w:val="20"/>
    </w:rPr>
  </w:style>
  <w:style w:type="character" w:customStyle="1" w:styleId="CommentTextChar">
    <w:name w:val="Comment Text Char"/>
    <w:basedOn w:val="DefaultParagraphFont"/>
    <w:link w:val="CommentText"/>
    <w:uiPriority w:val="99"/>
    <w:semiHidden/>
    <w:rsid w:val="000B4A24"/>
    <w:rPr>
      <w:sz w:val="20"/>
      <w:szCs w:val="20"/>
    </w:rPr>
  </w:style>
  <w:style w:type="paragraph" w:styleId="CommentSubject">
    <w:name w:val="annotation subject"/>
    <w:basedOn w:val="CommentText"/>
    <w:next w:val="CommentText"/>
    <w:link w:val="CommentSubjectChar"/>
    <w:uiPriority w:val="99"/>
    <w:semiHidden/>
    <w:unhideWhenUsed/>
    <w:rsid w:val="000B4A24"/>
    <w:rPr>
      <w:b/>
      <w:bCs/>
    </w:rPr>
  </w:style>
  <w:style w:type="character" w:customStyle="1" w:styleId="CommentSubjectChar">
    <w:name w:val="Comment Subject Char"/>
    <w:basedOn w:val="CommentTextChar"/>
    <w:link w:val="CommentSubject"/>
    <w:uiPriority w:val="99"/>
    <w:semiHidden/>
    <w:rsid w:val="000B4A24"/>
    <w:rPr>
      <w:b/>
      <w:bCs/>
      <w:sz w:val="20"/>
      <w:szCs w:val="20"/>
    </w:rPr>
  </w:style>
  <w:style w:type="character" w:styleId="FollowedHyperlink">
    <w:name w:val="FollowedHyperlink"/>
    <w:basedOn w:val="DefaultParagraphFont"/>
    <w:uiPriority w:val="99"/>
    <w:semiHidden/>
    <w:unhideWhenUsed/>
    <w:rsid w:val="000B22F7"/>
    <w:rPr>
      <w:color w:val="954F72" w:themeColor="followedHyperlink"/>
      <w:u w:val="single"/>
    </w:rPr>
  </w:style>
  <w:style w:type="paragraph" w:styleId="NormalWeb">
    <w:name w:val="Normal (Web)"/>
    <w:basedOn w:val="Normal"/>
    <w:uiPriority w:val="99"/>
    <w:semiHidden/>
    <w:unhideWhenUsed/>
    <w:rsid w:val="0094348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43481"/>
    <w:rPr>
      <w:b/>
      <w:bCs/>
    </w:rPr>
  </w:style>
  <w:style w:type="character" w:customStyle="1" w:styleId="apple-converted-space">
    <w:name w:val="apple-converted-space"/>
    <w:basedOn w:val="DefaultParagraphFont"/>
    <w:rsid w:val="00E32C11"/>
  </w:style>
  <w:style w:type="character" w:customStyle="1" w:styleId="shorttext">
    <w:name w:val="short_text"/>
    <w:basedOn w:val="DefaultParagraphFont"/>
    <w:rsid w:val="00130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02936">
      <w:bodyDiv w:val="1"/>
      <w:marLeft w:val="0"/>
      <w:marRight w:val="0"/>
      <w:marTop w:val="0"/>
      <w:marBottom w:val="0"/>
      <w:divBdr>
        <w:top w:val="none" w:sz="0" w:space="0" w:color="auto"/>
        <w:left w:val="none" w:sz="0" w:space="0" w:color="auto"/>
        <w:bottom w:val="none" w:sz="0" w:space="0" w:color="auto"/>
        <w:right w:val="none" w:sz="0" w:space="0" w:color="auto"/>
      </w:divBdr>
    </w:div>
    <w:div w:id="420030915">
      <w:bodyDiv w:val="1"/>
      <w:marLeft w:val="0"/>
      <w:marRight w:val="0"/>
      <w:marTop w:val="0"/>
      <w:marBottom w:val="0"/>
      <w:divBdr>
        <w:top w:val="none" w:sz="0" w:space="0" w:color="auto"/>
        <w:left w:val="none" w:sz="0" w:space="0" w:color="auto"/>
        <w:bottom w:val="none" w:sz="0" w:space="0" w:color="auto"/>
        <w:right w:val="none" w:sz="0" w:space="0" w:color="auto"/>
      </w:divBdr>
    </w:div>
    <w:div w:id="523515613">
      <w:bodyDiv w:val="1"/>
      <w:marLeft w:val="0"/>
      <w:marRight w:val="0"/>
      <w:marTop w:val="0"/>
      <w:marBottom w:val="0"/>
      <w:divBdr>
        <w:top w:val="none" w:sz="0" w:space="0" w:color="auto"/>
        <w:left w:val="none" w:sz="0" w:space="0" w:color="auto"/>
        <w:bottom w:val="none" w:sz="0" w:space="0" w:color="auto"/>
        <w:right w:val="none" w:sz="0" w:space="0" w:color="auto"/>
      </w:divBdr>
    </w:div>
    <w:div w:id="658920857">
      <w:bodyDiv w:val="1"/>
      <w:marLeft w:val="0"/>
      <w:marRight w:val="0"/>
      <w:marTop w:val="0"/>
      <w:marBottom w:val="0"/>
      <w:divBdr>
        <w:top w:val="none" w:sz="0" w:space="0" w:color="auto"/>
        <w:left w:val="none" w:sz="0" w:space="0" w:color="auto"/>
        <w:bottom w:val="none" w:sz="0" w:space="0" w:color="auto"/>
        <w:right w:val="none" w:sz="0" w:space="0" w:color="auto"/>
      </w:divBdr>
    </w:div>
    <w:div w:id="665592634">
      <w:bodyDiv w:val="1"/>
      <w:marLeft w:val="0"/>
      <w:marRight w:val="0"/>
      <w:marTop w:val="0"/>
      <w:marBottom w:val="0"/>
      <w:divBdr>
        <w:top w:val="none" w:sz="0" w:space="0" w:color="auto"/>
        <w:left w:val="none" w:sz="0" w:space="0" w:color="auto"/>
        <w:bottom w:val="none" w:sz="0" w:space="0" w:color="auto"/>
        <w:right w:val="none" w:sz="0" w:space="0" w:color="auto"/>
      </w:divBdr>
    </w:div>
    <w:div w:id="682442318">
      <w:bodyDiv w:val="1"/>
      <w:marLeft w:val="0"/>
      <w:marRight w:val="0"/>
      <w:marTop w:val="0"/>
      <w:marBottom w:val="0"/>
      <w:divBdr>
        <w:top w:val="none" w:sz="0" w:space="0" w:color="auto"/>
        <w:left w:val="none" w:sz="0" w:space="0" w:color="auto"/>
        <w:bottom w:val="none" w:sz="0" w:space="0" w:color="auto"/>
        <w:right w:val="none" w:sz="0" w:space="0" w:color="auto"/>
      </w:divBdr>
    </w:div>
    <w:div w:id="823398894">
      <w:bodyDiv w:val="1"/>
      <w:marLeft w:val="0"/>
      <w:marRight w:val="0"/>
      <w:marTop w:val="0"/>
      <w:marBottom w:val="0"/>
      <w:divBdr>
        <w:top w:val="none" w:sz="0" w:space="0" w:color="auto"/>
        <w:left w:val="none" w:sz="0" w:space="0" w:color="auto"/>
        <w:bottom w:val="none" w:sz="0" w:space="0" w:color="auto"/>
        <w:right w:val="none" w:sz="0" w:space="0" w:color="auto"/>
      </w:divBdr>
    </w:div>
    <w:div w:id="946623705">
      <w:bodyDiv w:val="1"/>
      <w:marLeft w:val="0"/>
      <w:marRight w:val="0"/>
      <w:marTop w:val="0"/>
      <w:marBottom w:val="0"/>
      <w:divBdr>
        <w:top w:val="none" w:sz="0" w:space="0" w:color="auto"/>
        <w:left w:val="none" w:sz="0" w:space="0" w:color="auto"/>
        <w:bottom w:val="none" w:sz="0" w:space="0" w:color="auto"/>
        <w:right w:val="none" w:sz="0" w:space="0" w:color="auto"/>
      </w:divBdr>
      <w:divsChild>
        <w:div w:id="473714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284461">
              <w:marLeft w:val="0"/>
              <w:marRight w:val="0"/>
              <w:marTop w:val="0"/>
              <w:marBottom w:val="0"/>
              <w:divBdr>
                <w:top w:val="none" w:sz="0" w:space="0" w:color="auto"/>
                <w:left w:val="none" w:sz="0" w:space="0" w:color="auto"/>
                <w:bottom w:val="none" w:sz="0" w:space="0" w:color="auto"/>
                <w:right w:val="none" w:sz="0" w:space="0" w:color="auto"/>
              </w:divBdr>
              <w:divsChild>
                <w:div w:id="6767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6783">
      <w:bodyDiv w:val="1"/>
      <w:marLeft w:val="0"/>
      <w:marRight w:val="0"/>
      <w:marTop w:val="0"/>
      <w:marBottom w:val="0"/>
      <w:divBdr>
        <w:top w:val="none" w:sz="0" w:space="0" w:color="auto"/>
        <w:left w:val="none" w:sz="0" w:space="0" w:color="auto"/>
        <w:bottom w:val="none" w:sz="0" w:space="0" w:color="auto"/>
        <w:right w:val="none" w:sz="0" w:space="0" w:color="auto"/>
      </w:divBdr>
    </w:div>
    <w:div w:id="1449472105">
      <w:bodyDiv w:val="1"/>
      <w:marLeft w:val="0"/>
      <w:marRight w:val="0"/>
      <w:marTop w:val="0"/>
      <w:marBottom w:val="0"/>
      <w:divBdr>
        <w:top w:val="none" w:sz="0" w:space="0" w:color="auto"/>
        <w:left w:val="none" w:sz="0" w:space="0" w:color="auto"/>
        <w:bottom w:val="none" w:sz="0" w:space="0" w:color="auto"/>
        <w:right w:val="none" w:sz="0" w:space="0" w:color="auto"/>
      </w:divBdr>
    </w:div>
    <w:div w:id="1733507883">
      <w:bodyDiv w:val="1"/>
      <w:marLeft w:val="0"/>
      <w:marRight w:val="0"/>
      <w:marTop w:val="0"/>
      <w:marBottom w:val="0"/>
      <w:divBdr>
        <w:top w:val="none" w:sz="0" w:space="0" w:color="auto"/>
        <w:left w:val="none" w:sz="0" w:space="0" w:color="auto"/>
        <w:bottom w:val="none" w:sz="0" w:space="0" w:color="auto"/>
        <w:right w:val="none" w:sz="0" w:space="0" w:color="auto"/>
      </w:divBdr>
    </w:div>
    <w:div w:id="1740051653">
      <w:bodyDiv w:val="1"/>
      <w:marLeft w:val="0"/>
      <w:marRight w:val="0"/>
      <w:marTop w:val="0"/>
      <w:marBottom w:val="0"/>
      <w:divBdr>
        <w:top w:val="none" w:sz="0" w:space="0" w:color="auto"/>
        <w:left w:val="none" w:sz="0" w:space="0" w:color="auto"/>
        <w:bottom w:val="none" w:sz="0" w:space="0" w:color="auto"/>
        <w:right w:val="none" w:sz="0" w:space="0" w:color="auto"/>
      </w:divBdr>
    </w:div>
    <w:div w:id="1807966725">
      <w:bodyDiv w:val="1"/>
      <w:marLeft w:val="0"/>
      <w:marRight w:val="0"/>
      <w:marTop w:val="0"/>
      <w:marBottom w:val="0"/>
      <w:divBdr>
        <w:top w:val="none" w:sz="0" w:space="0" w:color="auto"/>
        <w:left w:val="none" w:sz="0" w:space="0" w:color="auto"/>
        <w:bottom w:val="none" w:sz="0" w:space="0" w:color="auto"/>
        <w:right w:val="none" w:sz="0" w:space="0" w:color="auto"/>
      </w:divBdr>
    </w:div>
    <w:div w:id="1919051339">
      <w:bodyDiv w:val="1"/>
      <w:marLeft w:val="0"/>
      <w:marRight w:val="0"/>
      <w:marTop w:val="0"/>
      <w:marBottom w:val="0"/>
      <w:divBdr>
        <w:top w:val="none" w:sz="0" w:space="0" w:color="auto"/>
        <w:left w:val="none" w:sz="0" w:space="0" w:color="auto"/>
        <w:bottom w:val="none" w:sz="0" w:space="0" w:color="auto"/>
        <w:right w:val="none" w:sz="0" w:space="0" w:color="auto"/>
      </w:divBdr>
    </w:div>
    <w:div w:id="2103450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urworldisnotforsale.org/en/signon/wto-turnaround-2013-food-jobs-and-sustainable-development-first-statement" TargetMode="External"/><Relationship Id="rId9" Type="http://schemas.openxmlformats.org/officeDocument/2006/relationships/hyperlink" Target="http://www.ourworldisnotforsale.org/en/signon/wto-turnaround-2013-food-jobs-and-sustainable-development-first-statemen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398AA-3736-5244-B24B-1DACB58E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3496</Words>
  <Characters>19931</Characters>
  <Application>Microsoft Macintosh Word</Application>
  <DocSecurity>0</DocSecurity>
  <Lines>166</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23381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James</dc:creator>
  <cp:lastModifiedBy>Deborah James</cp:lastModifiedBy>
  <cp:revision>5</cp:revision>
  <dcterms:created xsi:type="dcterms:W3CDTF">2017-09-25T14:08:00Z</dcterms:created>
  <dcterms:modified xsi:type="dcterms:W3CDTF">2017-09-27T12:40:00Z</dcterms:modified>
</cp:coreProperties>
</file>