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F" w:rsidRPr="00954C40" w:rsidRDefault="005224BF" w:rsidP="00954C40">
      <w:pPr>
        <w:pStyle w:val="PlainText"/>
        <w:jc w:val="center"/>
        <w:rPr>
          <w:rFonts w:asciiTheme="minorHAnsi" w:hAnsiTheme="minorHAnsi" w:cs="Courier New"/>
          <w:b/>
          <w:sz w:val="22"/>
          <w:szCs w:val="22"/>
          <w:lang w:val="fr-FR"/>
        </w:rPr>
      </w:pPr>
      <w:r w:rsidRPr="00954C40">
        <w:rPr>
          <w:rFonts w:asciiTheme="minorHAnsi" w:hAnsiTheme="minorHAnsi" w:cs="Courier New"/>
          <w:b/>
          <w:sz w:val="22"/>
          <w:szCs w:val="22"/>
          <w:lang w:val="fr-FR"/>
        </w:rPr>
        <w:t>Les droits à la liberté de réunion pacifique et d’association</w:t>
      </w:r>
    </w:p>
    <w:p w:rsidR="005224BF" w:rsidRPr="00954C40" w:rsidRDefault="005224BF" w:rsidP="00954C40">
      <w:pPr>
        <w:pStyle w:val="PlainText"/>
        <w:jc w:val="center"/>
        <w:rPr>
          <w:rFonts w:asciiTheme="minorHAnsi" w:hAnsiTheme="minorHAnsi" w:cs="Courier New"/>
          <w:b/>
          <w:sz w:val="22"/>
          <w:szCs w:val="22"/>
          <w:lang w:val="fr-FR"/>
        </w:rPr>
      </w:pPr>
      <w:proofErr w:type="gramStart"/>
      <w:r w:rsidRPr="00954C40">
        <w:rPr>
          <w:rFonts w:asciiTheme="minorHAnsi" w:hAnsiTheme="minorHAnsi" w:cs="Courier New"/>
          <w:b/>
          <w:sz w:val="22"/>
          <w:szCs w:val="22"/>
          <w:lang w:val="fr-FR"/>
        </w:rPr>
        <w:t>des</w:t>
      </w:r>
      <w:proofErr w:type="gramEnd"/>
      <w:r w:rsidRPr="00954C40">
        <w:rPr>
          <w:rFonts w:asciiTheme="minorHAnsi" w:hAnsiTheme="minorHAnsi" w:cs="Courier New"/>
          <w:b/>
          <w:sz w:val="22"/>
          <w:szCs w:val="22"/>
          <w:lang w:val="fr-FR"/>
        </w:rPr>
        <w:t xml:space="preserve"> travailleurs en situation de vulnérabilité</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i/>
          <w:sz w:val="22"/>
          <w:szCs w:val="22"/>
          <w:lang w:val="fr-FR"/>
        </w:rPr>
      </w:pPr>
      <w:r w:rsidRPr="00954C40">
        <w:rPr>
          <w:rFonts w:asciiTheme="minorHAnsi" w:hAnsiTheme="minorHAnsi" w:cs="Courier New"/>
          <w:i/>
          <w:sz w:val="22"/>
          <w:szCs w:val="22"/>
          <w:lang w:val="fr-FR"/>
        </w:rPr>
        <w:t>Rapport thématique d’octobre 2016 pour l’Assemblée gén</w:t>
      </w:r>
      <w:r w:rsidR="00954C40" w:rsidRPr="00954C40">
        <w:rPr>
          <w:rFonts w:asciiTheme="minorHAnsi" w:hAnsiTheme="minorHAnsi" w:cs="Courier New"/>
          <w:i/>
          <w:sz w:val="22"/>
          <w:szCs w:val="22"/>
          <w:lang w:val="fr-FR"/>
        </w:rPr>
        <w:t xml:space="preserve">érale des Nations Unies par le </w:t>
      </w:r>
      <w:r w:rsidRPr="00954C40">
        <w:rPr>
          <w:rFonts w:asciiTheme="minorHAnsi" w:hAnsiTheme="minorHAnsi" w:cs="Courier New"/>
          <w:i/>
          <w:sz w:val="22"/>
          <w:szCs w:val="22"/>
          <w:lang w:val="fr-FR"/>
        </w:rPr>
        <w:t>Rapporteur spécial sur le droit de réunion pacifique et la liberté d’association</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Dans son prochain rapport à l'Assemblée générale de l'ONU qui sera présenté en octobre</w:t>
      </w: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2016, le Rapporteur spécial examinera les droits à la liberté de réunion pacifique et d'association des travailleurs en situation de vulnérabilité.</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Le Rapporteur spécial considère les travailleurs  en situation de vulnérabilité comme étant les plus marginalisés ou laissés pour compte s’agissant de l'exercice des droits à la liberté de réunion pacifique et d'association. Ces travailleurs peuvent être aussi bien une jeune femme travaillant comme employée de maison et vivant au domicile de son employeur, un ouvrier de construction embauché quotidiennement, un travailleur migrant sur un bateau de pêche à l'exportation qui a emprunté de l'argent à sa famille pour payer des frais d'agence, qu’un réfugié ayant une connaissance limitée de la langue nationale essayant de gagner un peu d'argent ou encore une mère qui récolte des légumes et se déplace d'une ferme à l’autre en fonction des saisons de récolte.</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Les questionnaires ci-dessous sollicitent des informations en vue d'aider le Rapporteur spécial dans son évaluation. Veuillez noter qu'il existe trois questionnaires distincts. Veuillez s'il vous plaît répondre uniquement au questionnaire qui correspond à votre situation (État membre des Nations Unies, représentant d’une entreprise ou représentant de la société civile, syndicaliste ou travailleur).</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Le Rapporteur spécial est particulièrement intéressé par des exemples concrets et spécifiques en lien avec ce sujet. Si vous citez des lois ou des études de cas, il serait utile d'inclure des copies de ces textes ou des liens vers d’autres sources d’informations. Si vous n'êtes pas sûr de la façon  de répondre à une question  ou  si  elle ne vous  concerne  pas,  vous  pouvez simplement ne pas y répondre.</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Toutes les réponses reçues seront rendues publiques en octobre 2016. Les membres de la société civile, les syndicats et les travailleurs peuvent, s’ils le souhaitent, demander à ce que leur identité demeure confidentielle (dans ce cas, seul le pays dans lequel ils opèrent sera divulgué). Veuillez s'il vous plaît indiquer clairement dans votre réponse si vous souhaitez que votre identité demeure confidentielle.</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 xml:space="preserve">Veuillez noter que ce rapport est préparé par le Rapporteur spécial en partenariat avec le </w:t>
      </w:r>
      <w:proofErr w:type="spellStart"/>
      <w:r w:rsidRPr="00954C40">
        <w:rPr>
          <w:rFonts w:asciiTheme="minorHAnsi" w:hAnsiTheme="minorHAnsi" w:cs="Courier New"/>
          <w:sz w:val="22"/>
          <w:szCs w:val="22"/>
          <w:lang w:val="fr-FR"/>
        </w:rPr>
        <w:t>Solidarity</w:t>
      </w:r>
      <w:proofErr w:type="spellEnd"/>
      <w:r w:rsidRPr="00954C40">
        <w:rPr>
          <w:rFonts w:asciiTheme="minorHAnsi" w:hAnsiTheme="minorHAnsi" w:cs="Courier New"/>
          <w:sz w:val="22"/>
          <w:szCs w:val="22"/>
          <w:lang w:val="fr-FR"/>
        </w:rPr>
        <w:t xml:space="preserve"> Center, une organisation internationale qui travaille dans une soixantaine de pays pour protéger les droits des travailleurs. Cette organisation contribuera aux recherches pour l’élaboration du  rapport.  Les  réponses  aux  questionnaires  seront  partagées  avec  certains membres du personnel de cette organisation avant la publication du rapport.</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b/>
          <w:sz w:val="22"/>
          <w:szCs w:val="22"/>
          <w:lang w:val="fr-FR"/>
        </w:rPr>
      </w:pPr>
      <w:r w:rsidRPr="00954C40">
        <w:rPr>
          <w:rFonts w:asciiTheme="minorHAnsi" w:hAnsiTheme="minorHAnsi" w:cs="Courier New"/>
          <w:b/>
          <w:sz w:val="22"/>
          <w:szCs w:val="22"/>
          <w:u w:val="single"/>
          <w:lang w:val="fr-FR"/>
        </w:rPr>
        <w:t xml:space="preserve">Les réponses aux questionnaires doivent être envoyées avant le </w:t>
      </w:r>
      <w:r w:rsidRPr="00954C40">
        <w:rPr>
          <w:rFonts w:asciiTheme="minorHAnsi" w:hAnsiTheme="minorHAnsi" w:cs="Courier New"/>
          <w:b/>
          <w:color w:val="FF0000"/>
          <w:sz w:val="22"/>
          <w:szCs w:val="22"/>
          <w:u w:val="single"/>
          <w:lang w:val="fr-FR"/>
        </w:rPr>
        <w:t>30 juin 2016</w:t>
      </w:r>
      <w:r w:rsidRPr="00954C40">
        <w:rPr>
          <w:rFonts w:asciiTheme="minorHAnsi" w:hAnsiTheme="minorHAnsi" w:cs="Courier New"/>
          <w:b/>
          <w:sz w:val="22"/>
          <w:szCs w:val="22"/>
          <w:lang w:val="fr-FR"/>
        </w:rPr>
        <w:t xml:space="preserve"> – en français, en anglais ou en espagnol – à l’adresse su</w:t>
      </w:r>
      <w:r w:rsidR="00954C40">
        <w:rPr>
          <w:rFonts w:asciiTheme="minorHAnsi" w:hAnsiTheme="minorHAnsi" w:cs="Courier New"/>
          <w:b/>
          <w:sz w:val="22"/>
          <w:szCs w:val="22"/>
          <w:lang w:val="fr-FR"/>
        </w:rPr>
        <w:t xml:space="preserve">ivante : </w:t>
      </w:r>
      <w:hyperlink r:id="rId4" w:history="1">
        <w:r w:rsidR="00954C40" w:rsidRPr="00A27550">
          <w:rPr>
            <w:rStyle w:val="Hyperlink"/>
            <w:rFonts w:asciiTheme="minorHAnsi" w:hAnsiTheme="minorHAnsi" w:cs="Courier New"/>
            <w:b/>
            <w:sz w:val="22"/>
            <w:szCs w:val="22"/>
            <w:lang w:val="fr-FR"/>
          </w:rPr>
          <w:t>freeassembly@ohchr.org</w:t>
        </w:r>
      </w:hyperlink>
      <w:r w:rsidR="00954C40">
        <w:rPr>
          <w:rFonts w:asciiTheme="minorHAnsi" w:hAnsiTheme="minorHAnsi" w:cs="Courier New"/>
          <w:b/>
          <w:sz w:val="22"/>
          <w:szCs w:val="22"/>
          <w:lang w:val="fr-FR"/>
        </w:rPr>
        <w:t xml:space="preserve"> </w:t>
      </w:r>
    </w:p>
    <w:p w:rsidR="00954C40" w:rsidRDefault="00954C40" w:rsidP="005224BF">
      <w:pPr>
        <w:pStyle w:val="PlainText"/>
        <w:rPr>
          <w:rFonts w:asciiTheme="minorHAnsi" w:hAnsiTheme="minorHAnsi" w:cs="Courier New"/>
          <w:sz w:val="22"/>
          <w:szCs w:val="22"/>
          <w:lang w:val="fr-FR"/>
        </w:rPr>
      </w:pPr>
    </w:p>
    <w:p w:rsidR="001D59CF" w:rsidRDefault="001D59CF" w:rsidP="00954C40">
      <w:pPr>
        <w:pStyle w:val="PlainText"/>
        <w:jc w:val="center"/>
        <w:rPr>
          <w:rFonts w:asciiTheme="minorHAnsi" w:hAnsiTheme="minorHAnsi" w:cs="Courier New"/>
          <w:b/>
          <w:sz w:val="22"/>
          <w:szCs w:val="22"/>
          <w:lang w:val="fr-FR"/>
        </w:rPr>
      </w:pPr>
    </w:p>
    <w:p w:rsidR="005224BF" w:rsidRPr="00954C40" w:rsidRDefault="005224BF" w:rsidP="00954C40">
      <w:pPr>
        <w:pStyle w:val="PlainText"/>
        <w:jc w:val="center"/>
        <w:rPr>
          <w:rFonts w:asciiTheme="minorHAnsi" w:hAnsiTheme="minorHAnsi" w:cs="Courier New"/>
          <w:b/>
          <w:sz w:val="22"/>
          <w:szCs w:val="22"/>
          <w:lang w:val="fr-FR"/>
        </w:rPr>
      </w:pPr>
      <w:r w:rsidRPr="00954C40">
        <w:rPr>
          <w:rFonts w:asciiTheme="minorHAnsi" w:hAnsiTheme="minorHAnsi" w:cs="Courier New"/>
          <w:b/>
          <w:sz w:val="22"/>
          <w:szCs w:val="22"/>
          <w:lang w:val="fr-FR"/>
        </w:rPr>
        <w:t>QUESTIONS POUR LA SOCIETE CIVILE, LES SYNDICATS ET LES TRAVAILLEURS</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1.   Quels  sont  les  défis  liés  à  l’exercice des  droits  à la liberté de réunion  pacifique  et d’association pour les travailleurs en situation de vulnérabilité dans votre pays ou votre région ? Ces défis comportent-ils des dimensions socio-culturelles ou liées au genre ? Des exemples précis seront appréciés.</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2.   Quels sont les obstacles politiques, juridiques et structurels à la réalisation des droits à la liberté de réunion pacifique et d’association pour les travailleurs en situation de vulnérabilité dans votre pays ? Ces obstacles comportent-ils des dimensions de genre ? Veuillez s’il vous plaît donner des exemples.</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3. Comment sont exercés en pratique les droits à la liberté de réunion pacifique et d’association des travailleurs, aussi bien lorsque ces droits sont reconnus formellement qu’en l’absence de reconnaissance formelle pour certaines catégories de travailleurs tels que ceux décrits ci-dessus ?</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4.   Avez-vous constaté la disparition de l’espace démocratique</w:t>
      </w:r>
      <w:r w:rsidR="00954C40">
        <w:rPr>
          <w:rFonts w:asciiTheme="minorHAnsi" w:hAnsiTheme="minorHAnsi" w:cs="Courier New"/>
          <w:sz w:val="22"/>
          <w:szCs w:val="22"/>
          <w:lang w:val="fr-FR"/>
        </w:rPr>
        <w:t xml:space="preserve">/civique au sein de votre pays </w:t>
      </w:r>
      <w:r w:rsidRPr="00954C40">
        <w:rPr>
          <w:rFonts w:asciiTheme="minorHAnsi" w:hAnsiTheme="minorHAnsi" w:cs="Courier New"/>
          <w:sz w:val="22"/>
          <w:szCs w:val="22"/>
          <w:lang w:val="fr-FR"/>
        </w:rPr>
        <w:t>ou de votre région ?</w:t>
      </w: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 xml:space="preserve">a.   Si  oui,  comment  cela  </w:t>
      </w:r>
      <w:proofErr w:type="spellStart"/>
      <w:r w:rsidRPr="00954C40">
        <w:rPr>
          <w:rFonts w:asciiTheme="minorHAnsi" w:hAnsiTheme="minorHAnsi" w:cs="Courier New"/>
          <w:sz w:val="22"/>
          <w:szCs w:val="22"/>
          <w:lang w:val="fr-FR"/>
        </w:rPr>
        <w:t>a-t-il</w:t>
      </w:r>
      <w:proofErr w:type="spellEnd"/>
      <w:r w:rsidRPr="00954C40">
        <w:rPr>
          <w:rFonts w:asciiTheme="minorHAnsi" w:hAnsiTheme="minorHAnsi" w:cs="Courier New"/>
          <w:sz w:val="22"/>
          <w:szCs w:val="22"/>
          <w:lang w:val="fr-FR"/>
        </w:rPr>
        <w:t xml:space="preserve">  impacté l’exercice  des  dr</w:t>
      </w:r>
      <w:r w:rsidR="00954C40">
        <w:rPr>
          <w:rFonts w:asciiTheme="minorHAnsi" w:hAnsiTheme="minorHAnsi" w:cs="Courier New"/>
          <w:sz w:val="22"/>
          <w:szCs w:val="22"/>
          <w:lang w:val="fr-FR"/>
        </w:rPr>
        <w:t xml:space="preserve">oits  à la liberté  de réunion </w:t>
      </w:r>
      <w:r w:rsidRPr="00954C40">
        <w:rPr>
          <w:rFonts w:asciiTheme="minorHAnsi" w:hAnsiTheme="minorHAnsi" w:cs="Courier New"/>
          <w:sz w:val="22"/>
          <w:szCs w:val="22"/>
          <w:lang w:val="fr-FR"/>
        </w:rPr>
        <w:t>pacifique et d’association des travailleurs  en situation de vulnérabilité ?</w:t>
      </w: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b.   Dans  quelle  mesure  l’absence  des  droits  à  la  liberté  de  réunion  pacifique  et d’association  pour  les  travailleurs  en  situation  de  vulnérabilité  a  un  impact  sur l’espace dont dispose la société civile dans son ensemble ?</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5.   Quel rôle a le manque de politique cohérente au niveau national sur la privation de l’exercice des droits à la liberté de réunion pacifique et d’association ? Est-ce que le cadre juridique présente des risques pour l’exercice des droits à la liberté de réunion pacifique et d’association ?</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6.   Comment l’Etat devrait remplir son obligation de protéger les individus des violations de leurs droits à la liberté de réunion pacifique et d’association par les acteurs non-étatiques dans les chaînes de valeurs mondiales ?</w:t>
      </w: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a.   Quels sont les obstacles à ce que les entreprises détenues par l’Etat soient tenues responsables pour les nuisances transnationales dans le pays d’accueil et dans leur propre pays ?</w:t>
      </w: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b.   Comment ces obstacles peuvent-ils être surmontés ?</w:t>
      </w: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c.   Qu’est-ce qui peut être fait pour inverser cette tendance ?</w:t>
      </w: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d.   Comment l’Etat répond-il aux pratiques de représailles ?</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7.   Quels acteurs/forces ont joué un rôle dans l’affaiblissement ou le blocage de lois visant à consacrer les droits à la liberté de réunion pacifique et d’association dans votre pays ou votre région ?</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8.   Quels obstacles empêchent les travailleurs d’exercer leurs droits à la liberté de réunion pacifique et d’association par-delà les frontières (par exemple les travailleurs migrants ou les travailleuses) ?</w:t>
      </w:r>
    </w:p>
    <w:p w:rsidR="005224BF" w:rsidRPr="00954C40" w:rsidRDefault="005224BF" w:rsidP="005224BF">
      <w:pPr>
        <w:pStyle w:val="PlainText"/>
        <w:rPr>
          <w:rFonts w:asciiTheme="minorHAnsi" w:hAnsiTheme="minorHAnsi" w:cs="Courier New"/>
          <w:sz w:val="22"/>
          <w:szCs w:val="22"/>
          <w:lang w:val="fr-FR"/>
        </w:rPr>
      </w:pPr>
    </w:p>
    <w:p w:rsidR="005224BF" w:rsidRPr="00954C40" w:rsidRDefault="005224BF" w:rsidP="005224BF">
      <w:pPr>
        <w:pStyle w:val="PlainText"/>
        <w:rPr>
          <w:rFonts w:asciiTheme="minorHAnsi" w:hAnsiTheme="minorHAnsi" w:cs="Courier New"/>
          <w:sz w:val="22"/>
          <w:szCs w:val="22"/>
          <w:lang w:val="fr-FR"/>
        </w:rPr>
      </w:pPr>
      <w:r w:rsidRPr="00954C40">
        <w:rPr>
          <w:rFonts w:asciiTheme="minorHAnsi" w:hAnsiTheme="minorHAnsi" w:cs="Courier New"/>
          <w:sz w:val="22"/>
          <w:szCs w:val="22"/>
          <w:lang w:val="fr-FR"/>
        </w:rPr>
        <w:t>9.   Souhaitez-vous que v</w:t>
      </w:r>
      <w:bookmarkStart w:id="0" w:name="_GoBack"/>
      <w:bookmarkEnd w:id="0"/>
      <w:r w:rsidRPr="00954C40">
        <w:rPr>
          <w:rFonts w:asciiTheme="minorHAnsi" w:hAnsiTheme="minorHAnsi" w:cs="Courier New"/>
          <w:sz w:val="22"/>
          <w:szCs w:val="22"/>
          <w:lang w:val="fr-FR"/>
        </w:rPr>
        <w:t>otre identité reste confidentielle ?</w:t>
      </w:r>
    </w:p>
    <w:sectPr w:rsidR="005224BF" w:rsidRPr="00954C40" w:rsidSect="005640A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22"/>
    <w:rsid w:val="001D59CF"/>
    <w:rsid w:val="003A4122"/>
    <w:rsid w:val="00433612"/>
    <w:rsid w:val="005224BF"/>
    <w:rsid w:val="008270C8"/>
    <w:rsid w:val="00954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A29A5-930A-44E0-A1B5-774ED52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EastAsia" w:hAnsi="Ebrima" w:cstheme="minorBidi"/>
        <w:sz w:val="24"/>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40A3"/>
    <w:rPr>
      <w:rFonts w:ascii="Consolas" w:hAnsi="Consolas"/>
      <w:sz w:val="21"/>
      <w:szCs w:val="21"/>
    </w:rPr>
  </w:style>
  <w:style w:type="character" w:customStyle="1" w:styleId="PlainTextChar">
    <w:name w:val="Plain Text Char"/>
    <w:basedOn w:val="DefaultParagraphFont"/>
    <w:link w:val="PlainText"/>
    <w:uiPriority w:val="99"/>
    <w:rsid w:val="005640A3"/>
    <w:rPr>
      <w:rFonts w:ascii="Consolas" w:hAnsi="Consolas"/>
      <w:sz w:val="21"/>
      <w:szCs w:val="21"/>
    </w:rPr>
  </w:style>
  <w:style w:type="character" w:styleId="Hyperlink">
    <w:name w:val="Hyperlink"/>
    <w:basedOn w:val="DefaultParagraphFont"/>
    <w:uiPriority w:val="99"/>
    <w:unhideWhenUsed/>
    <w:rsid w:val="00954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eassembly@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Rubiano</dc:creator>
  <cp:keywords/>
  <dc:description/>
  <cp:lastModifiedBy>Caroline Dodd-Taleb</cp:lastModifiedBy>
  <cp:revision>2</cp:revision>
  <dcterms:created xsi:type="dcterms:W3CDTF">2016-05-26T15:32:00Z</dcterms:created>
  <dcterms:modified xsi:type="dcterms:W3CDTF">2016-05-26T15:32:00Z</dcterms:modified>
</cp:coreProperties>
</file>