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D3A" w:rsidRPr="003A26C2" w:rsidRDefault="00856D3A" w:rsidP="00856D3A">
      <w:pPr>
        <w:spacing w:line="320" w:lineRule="atLeast"/>
        <w:jc w:val="center"/>
        <w:rPr>
          <w:rFonts w:asciiTheme="minorHAnsi" w:hAnsiTheme="minorHAnsi" w:cs="Calibri"/>
          <w:b/>
          <w:bCs/>
          <w:sz w:val="28"/>
          <w:szCs w:val="28"/>
          <w:lang w:val="en-GB"/>
        </w:rPr>
      </w:pPr>
      <w:r w:rsidRPr="003A26C2">
        <w:rPr>
          <w:rFonts w:asciiTheme="minorHAnsi" w:hAnsiTheme="minorHAnsi" w:cs="Calibri"/>
          <w:b/>
          <w:bCs/>
          <w:sz w:val="28"/>
          <w:szCs w:val="28"/>
          <w:lang w:val="en-GB"/>
        </w:rPr>
        <w:t xml:space="preserve">PSI Health and Social Services Task Force meeting </w:t>
      </w:r>
    </w:p>
    <w:p w:rsidR="00856D3A" w:rsidRPr="003A26C2" w:rsidRDefault="00856D3A" w:rsidP="00856D3A">
      <w:pPr>
        <w:spacing w:line="320" w:lineRule="atLeast"/>
        <w:jc w:val="center"/>
        <w:rPr>
          <w:rFonts w:asciiTheme="minorHAnsi" w:hAnsiTheme="minorHAnsi" w:cs="Calibri"/>
          <w:b/>
          <w:bCs/>
          <w:sz w:val="28"/>
          <w:szCs w:val="28"/>
          <w:lang w:val="en-GB"/>
        </w:rPr>
      </w:pPr>
      <w:r w:rsidRPr="003A26C2">
        <w:rPr>
          <w:rFonts w:asciiTheme="minorHAnsi" w:hAnsiTheme="minorHAnsi" w:cs="Calibri"/>
          <w:b/>
          <w:bCs/>
          <w:sz w:val="28"/>
          <w:szCs w:val="28"/>
          <w:lang w:val="en-GB"/>
        </w:rPr>
        <w:t>Room III, ILO, Geneva</w:t>
      </w:r>
    </w:p>
    <w:p w:rsidR="00856D3A" w:rsidRPr="003A26C2" w:rsidRDefault="00856D3A" w:rsidP="00856D3A">
      <w:pPr>
        <w:spacing w:line="320" w:lineRule="atLeast"/>
        <w:jc w:val="center"/>
        <w:rPr>
          <w:rFonts w:asciiTheme="minorHAnsi" w:hAnsiTheme="minorHAnsi" w:cs="Calibri"/>
          <w:b/>
          <w:bCs/>
          <w:sz w:val="28"/>
          <w:szCs w:val="28"/>
          <w:lang w:val="en-GB"/>
        </w:rPr>
      </w:pPr>
      <w:r w:rsidRPr="003A26C2">
        <w:rPr>
          <w:rFonts w:asciiTheme="minorHAnsi" w:hAnsiTheme="minorHAnsi" w:cs="Calibri"/>
          <w:b/>
          <w:bCs/>
          <w:sz w:val="28"/>
          <w:szCs w:val="28"/>
          <w:lang w:val="en-GB"/>
        </w:rPr>
        <w:t>15 – 16 February 2018</w:t>
      </w:r>
    </w:p>
    <w:p w:rsidR="00856D3A" w:rsidRDefault="00856D3A" w:rsidP="00856D3A">
      <w:pPr>
        <w:spacing w:line="320" w:lineRule="atLeast"/>
        <w:jc w:val="center"/>
        <w:rPr>
          <w:rFonts w:asciiTheme="minorHAnsi" w:hAnsiTheme="minorHAnsi" w:cs="Calibri"/>
          <w:b/>
          <w:bCs/>
          <w:sz w:val="32"/>
          <w:szCs w:val="32"/>
        </w:rPr>
      </w:pPr>
      <w:r w:rsidRPr="003A26C2">
        <w:rPr>
          <w:rFonts w:asciiTheme="minorHAnsi" w:hAnsiTheme="minorHAnsi" w:cs="Calibri"/>
          <w:b/>
          <w:bCs/>
          <w:sz w:val="32"/>
          <w:szCs w:val="32"/>
        </w:rPr>
        <w:t xml:space="preserve">DRAFT AGENDA </w:t>
      </w:r>
    </w:p>
    <w:p w:rsidR="00856D3A" w:rsidRPr="003A26C2" w:rsidRDefault="00856D3A" w:rsidP="00856D3A">
      <w:pPr>
        <w:spacing w:line="320" w:lineRule="atLeast"/>
        <w:jc w:val="center"/>
        <w:rPr>
          <w:rFonts w:asciiTheme="minorHAnsi" w:hAnsiTheme="minorHAnsi" w:cs="Calibri"/>
          <w:b/>
          <w:bCs/>
          <w:sz w:val="32"/>
          <w:szCs w:val="32"/>
        </w:rPr>
      </w:pPr>
    </w:p>
    <w:tbl>
      <w:tblPr>
        <w:tblW w:w="9540" w:type="dxa"/>
        <w:tblInd w:w="-10" w:type="dxa"/>
        <w:tblLook w:val="04A0" w:firstRow="1" w:lastRow="0" w:firstColumn="1" w:lastColumn="0" w:noHBand="0" w:noVBand="1"/>
      </w:tblPr>
      <w:tblGrid>
        <w:gridCol w:w="1600"/>
        <w:gridCol w:w="7940"/>
      </w:tblGrid>
      <w:tr w:rsidR="00856D3A" w:rsidRPr="003A26C2" w:rsidTr="00460727">
        <w:trPr>
          <w:trHeight w:val="290"/>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 </w:t>
            </w:r>
          </w:p>
        </w:tc>
        <w:tc>
          <w:tcPr>
            <w:tcW w:w="7940" w:type="dxa"/>
            <w:tcBorders>
              <w:top w:val="single" w:sz="8" w:space="0" w:color="auto"/>
              <w:left w:val="nil"/>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b/>
                <w:bCs/>
                <w:color w:val="000000"/>
                <w:sz w:val="25"/>
                <w:szCs w:val="25"/>
                <w:lang w:val="en-GB" w:eastAsia="en-GB"/>
              </w:rPr>
              <w:t>Thursday 15 February 2018</w:t>
            </w:r>
          </w:p>
        </w:tc>
      </w:tr>
      <w:tr w:rsidR="00856D3A" w:rsidRPr="003A26C2" w:rsidTr="00460727">
        <w:trPr>
          <w:trHeight w:val="290"/>
        </w:trPr>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10:00 - 10:30</w:t>
            </w:r>
          </w:p>
        </w:tc>
        <w:tc>
          <w:tcPr>
            <w:tcW w:w="7940" w:type="dxa"/>
            <w:tcBorders>
              <w:top w:val="nil"/>
              <w:left w:val="nil"/>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b/>
                <w:bCs/>
                <w:color w:val="000000"/>
                <w:sz w:val="25"/>
                <w:szCs w:val="25"/>
                <w:lang w:val="en-GB" w:eastAsia="en-GB"/>
              </w:rPr>
              <w:t xml:space="preserve">Opening session </w:t>
            </w:r>
          </w:p>
        </w:tc>
      </w:tr>
      <w:tr w:rsidR="00856D3A" w:rsidRPr="003A26C2" w:rsidTr="00460727">
        <w:trPr>
          <w:trHeight w:val="280"/>
        </w:trPr>
        <w:tc>
          <w:tcPr>
            <w:tcW w:w="1600" w:type="dxa"/>
            <w:tcBorders>
              <w:top w:val="nil"/>
              <w:left w:val="single" w:sz="8" w:space="0" w:color="auto"/>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 </w:t>
            </w:r>
          </w:p>
        </w:tc>
        <w:tc>
          <w:tcPr>
            <w:tcW w:w="7940" w:type="dxa"/>
            <w:tcBorders>
              <w:top w:val="nil"/>
              <w:left w:val="nil"/>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Welcome</w:t>
            </w:r>
          </w:p>
        </w:tc>
      </w:tr>
      <w:tr w:rsidR="00856D3A" w:rsidRPr="003A26C2" w:rsidTr="00460727">
        <w:trPr>
          <w:trHeight w:val="280"/>
        </w:trPr>
        <w:tc>
          <w:tcPr>
            <w:tcW w:w="1600" w:type="dxa"/>
            <w:tcBorders>
              <w:top w:val="nil"/>
              <w:left w:val="single" w:sz="8" w:space="0" w:color="auto"/>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 </w:t>
            </w:r>
          </w:p>
        </w:tc>
        <w:tc>
          <w:tcPr>
            <w:tcW w:w="7940" w:type="dxa"/>
            <w:tcBorders>
              <w:top w:val="nil"/>
              <w:left w:val="nil"/>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Introductions</w:t>
            </w:r>
          </w:p>
        </w:tc>
      </w:tr>
      <w:tr w:rsidR="00856D3A" w:rsidRPr="00410317" w:rsidTr="00B63E98">
        <w:trPr>
          <w:trHeight w:val="280"/>
        </w:trPr>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 </w:t>
            </w:r>
          </w:p>
        </w:tc>
        <w:tc>
          <w:tcPr>
            <w:tcW w:w="7940" w:type="dxa"/>
            <w:tcBorders>
              <w:top w:val="nil"/>
              <w:left w:val="nil"/>
              <w:bottom w:val="single" w:sz="4"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Overview of meeting and arrangements</w:t>
            </w:r>
          </w:p>
        </w:tc>
      </w:tr>
      <w:tr w:rsidR="00856D3A" w:rsidRPr="00410317" w:rsidTr="00B63E98">
        <w:trPr>
          <w:trHeight w:val="290"/>
        </w:trPr>
        <w:tc>
          <w:tcPr>
            <w:tcW w:w="16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10.30 – 11:30</w:t>
            </w:r>
          </w:p>
          <w:p w:rsidR="00856D3A" w:rsidRPr="003A26C2" w:rsidRDefault="00856D3A" w:rsidP="00460727">
            <w:pPr>
              <w:rPr>
                <w:rFonts w:ascii="Calibri" w:eastAsia="Times New Roman" w:hAnsi="Calibri"/>
                <w:color w:val="000000"/>
                <w:sz w:val="25"/>
                <w:szCs w:val="25"/>
                <w:lang w:val="en-GB" w:eastAsia="en-GB"/>
              </w:rPr>
            </w:pPr>
          </w:p>
        </w:tc>
        <w:tc>
          <w:tcPr>
            <w:tcW w:w="7940" w:type="dxa"/>
            <w:tcBorders>
              <w:top w:val="single" w:sz="4" w:space="0" w:color="auto"/>
              <w:left w:val="nil"/>
              <w:bottom w:val="single" w:sz="8" w:space="0" w:color="auto"/>
              <w:right w:val="single" w:sz="8" w:space="0" w:color="auto"/>
            </w:tcBorders>
            <w:shd w:val="clear" w:color="auto" w:fill="auto"/>
            <w:noWrap/>
            <w:vAlign w:val="bottom"/>
          </w:tcPr>
          <w:p w:rsidR="00856D3A" w:rsidRPr="003A26C2" w:rsidRDefault="00856D3A" w:rsidP="00460727">
            <w:pPr>
              <w:rPr>
                <w:rFonts w:ascii="Calibri" w:eastAsia="Times New Roman" w:hAnsi="Calibri"/>
                <w:b/>
                <w:color w:val="000000"/>
                <w:sz w:val="25"/>
                <w:szCs w:val="25"/>
                <w:lang w:val="en-GB" w:eastAsia="en-GB"/>
              </w:rPr>
            </w:pPr>
            <w:r w:rsidRPr="003A26C2">
              <w:rPr>
                <w:rFonts w:ascii="Calibri" w:eastAsia="Times New Roman" w:hAnsi="Calibri"/>
                <w:b/>
                <w:color w:val="000000"/>
                <w:sz w:val="25"/>
                <w:szCs w:val="25"/>
                <w:lang w:val="en-GB" w:eastAsia="en-GB"/>
              </w:rPr>
              <w:t>Reports</w:t>
            </w:r>
          </w:p>
          <w:p w:rsidR="00856D3A" w:rsidRPr="003A26C2" w:rsidRDefault="00856D3A" w:rsidP="00460727">
            <w:pPr>
              <w:pStyle w:val="ListParagraph"/>
              <w:numPr>
                <w:ilvl w:val="0"/>
                <w:numId w:val="2"/>
              </w:numPr>
              <w:rPr>
                <w:rFonts w:eastAsia="Times New Roman"/>
                <w:color w:val="000000"/>
                <w:sz w:val="25"/>
                <w:szCs w:val="25"/>
                <w:lang w:eastAsia="en-GB"/>
              </w:rPr>
            </w:pPr>
            <w:r w:rsidRPr="003A26C2">
              <w:rPr>
                <w:rFonts w:eastAsia="Times New Roman"/>
                <w:color w:val="000000"/>
                <w:sz w:val="25"/>
                <w:szCs w:val="25"/>
                <w:lang w:eastAsia="en-GB"/>
              </w:rPr>
              <w:t>From Head Office: activities since the 2016 HSSTF</w:t>
            </w:r>
          </w:p>
          <w:p w:rsidR="00856D3A" w:rsidRPr="003A26C2" w:rsidRDefault="00856D3A" w:rsidP="00460727">
            <w:pPr>
              <w:pStyle w:val="ListParagraph"/>
              <w:numPr>
                <w:ilvl w:val="0"/>
                <w:numId w:val="2"/>
              </w:numPr>
              <w:rPr>
                <w:rFonts w:eastAsia="Times New Roman"/>
                <w:color w:val="000000"/>
                <w:sz w:val="25"/>
                <w:szCs w:val="25"/>
                <w:lang w:eastAsia="en-GB"/>
              </w:rPr>
            </w:pPr>
            <w:r w:rsidRPr="003A26C2">
              <w:rPr>
                <w:rFonts w:eastAsia="Times New Roman"/>
                <w:color w:val="000000"/>
                <w:sz w:val="25"/>
                <w:szCs w:val="25"/>
                <w:lang w:eastAsia="en-GB"/>
              </w:rPr>
              <w:t>From the regions/affiliates; identifying challenges and achievements</w:t>
            </w:r>
          </w:p>
        </w:tc>
      </w:tr>
      <w:tr w:rsidR="00856D3A" w:rsidRPr="003A26C2" w:rsidTr="00460727">
        <w:trPr>
          <w:trHeight w:val="290"/>
        </w:trPr>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11:30 - 12:00</w:t>
            </w:r>
          </w:p>
        </w:tc>
        <w:tc>
          <w:tcPr>
            <w:tcW w:w="7940" w:type="dxa"/>
            <w:tcBorders>
              <w:top w:val="nil"/>
              <w:left w:val="nil"/>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Tea/Coffee Break</w:t>
            </w:r>
          </w:p>
        </w:tc>
      </w:tr>
      <w:tr w:rsidR="00856D3A" w:rsidRPr="00410317" w:rsidTr="00460727">
        <w:trPr>
          <w:trHeight w:val="280"/>
        </w:trPr>
        <w:tc>
          <w:tcPr>
            <w:tcW w:w="1600" w:type="dxa"/>
            <w:tcBorders>
              <w:top w:val="nil"/>
              <w:left w:val="single" w:sz="8" w:space="0" w:color="auto"/>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12:00 - 13:00</w:t>
            </w:r>
          </w:p>
        </w:tc>
        <w:tc>
          <w:tcPr>
            <w:tcW w:w="7940" w:type="dxa"/>
            <w:tcBorders>
              <w:top w:val="nil"/>
              <w:left w:val="nil"/>
              <w:bottom w:val="nil"/>
              <w:right w:val="single" w:sz="8" w:space="0" w:color="auto"/>
            </w:tcBorders>
            <w:shd w:val="clear" w:color="auto" w:fill="auto"/>
            <w:noWrap/>
            <w:hideMark/>
          </w:tcPr>
          <w:p w:rsidR="00856D3A" w:rsidRPr="003A26C2" w:rsidRDefault="00856D3A" w:rsidP="00460727">
            <w:pPr>
              <w:rPr>
                <w:rFonts w:ascii="Calibri" w:eastAsia="Times New Roman" w:hAnsi="Calibri"/>
                <w:b/>
                <w:color w:val="000000"/>
                <w:sz w:val="25"/>
                <w:szCs w:val="25"/>
                <w:lang w:val="en-GB" w:eastAsia="en-GB"/>
              </w:rPr>
            </w:pPr>
            <w:r w:rsidRPr="003A26C2">
              <w:rPr>
                <w:rFonts w:ascii="Calibri" w:eastAsia="Times New Roman" w:hAnsi="Calibri"/>
                <w:b/>
                <w:color w:val="000000"/>
                <w:sz w:val="25"/>
                <w:szCs w:val="25"/>
                <w:lang w:val="en-GB" w:eastAsia="en-GB"/>
              </w:rPr>
              <w:t xml:space="preserve">Panel 1: </w:t>
            </w:r>
            <w:bookmarkStart w:id="0" w:name="_Hlk501674098"/>
            <w:r w:rsidR="00410317">
              <w:rPr>
                <w:rFonts w:ascii="Calibri" w:eastAsia="Times New Roman" w:hAnsi="Calibri"/>
                <w:b/>
                <w:color w:val="000000"/>
                <w:sz w:val="25"/>
                <w:szCs w:val="25"/>
                <w:lang w:val="en-GB" w:eastAsia="en-GB"/>
              </w:rPr>
              <w:t>People Over Profit</w:t>
            </w:r>
            <w:r w:rsidRPr="003A26C2">
              <w:rPr>
                <w:rFonts w:ascii="Calibri" w:eastAsia="Times New Roman" w:hAnsi="Calibri"/>
                <w:b/>
                <w:color w:val="000000"/>
                <w:sz w:val="25"/>
                <w:szCs w:val="25"/>
                <w:lang w:val="en-GB" w:eastAsia="en-GB"/>
              </w:rPr>
              <w:t>: Towards implementation of the</w:t>
            </w:r>
            <w:r>
              <w:rPr>
                <w:rFonts w:ascii="Calibri" w:eastAsia="Times New Roman" w:hAnsi="Calibri"/>
                <w:b/>
                <w:color w:val="000000"/>
                <w:sz w:val="25"/>
                <w:szCs w:val="25"/>
                <w:lang w:val="en-GB" w:eastAsia="en-GB"/>
              </w:rPr>
              <w:t xml:space="preserve"> PSI Programme of Action:</w:t>
            </w:r>
            <w:r w:rsidRPr="003A26C2">
              <w:rPr>
                <w:rFonts w:ascii="Calibri" w:eastAsia="Times New Roman" w:hAnsi="Calibri"/>
                <w:b/>
                <w:color w:val="000000"/>
                <w:sz w:val="25"/>
                <w:szCs w:val="25"/>
                <w:lang w:val="en-GB" w:eastAsia="en-GB"/>
              </w:rPr>
              <w:t xml:space="preserve"> 2018-2022 </w:t>
            </w:r>
            <w:bookmarkEnd w:id="0"/>
          </w:p>
        </w:tc>
      </w:tr>
      <w:tr w:rsidR="00856D3A" w:rsidRPr="00410317" w:rsidTr="00460727">
        <w:trPr>
          <w:trHeight w:val="280"/>
        </w:trPr>
        <w:tc>
          <w:tcPr>
            <w:tcW w:w="1600" w:type="dxa"/>
            <w:tcBorders>
              <w:top w:val="nil"/>
              <w:left w:val="single" w:sz="8" w:space="0" w:color="auto"/>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 </w:t>
            </w:r>
          </w:p>
        </w:tc>
        <w:tc>
          <w:tcPr>
            <w:tcW w:w="7940" w:type="dxa"/>
            <w:tcBorders>
              <w:top w:val="nil"/>
              <w:left w:val="nil"/>
              <w:bottom w:val="nil"/>
              <w:right w:val="single" w:sz="8" w:space="0" w:color="auto"/>
            </w:tcBorders>
            <w:shd w:val="clear" w:color="auto" w:fill="auto"/>
            <w:noWrap/>
            <w:hideMark/>
          </w:tcPr>
          <w:p w:rsidR="00856D3A" w:rsidRPr="003A26C2" w:rsidRDefault="00856D3A" w:rsidP="00460727">
            <w:pPr>
              <w:pStyle w:val="ListParagraph"/>
              <w:numPr>
                <w:ilvl w:val="0"/>
                <w:numId w:val="2"/>
              </w:numPr>
              <w:rPr>
                <w:rFonts w:eastAsia="Times New Roman"/>
                <w:color w:val="000000"/>
                <w:sz w:val="25"/>
                <w:szCs w:val="25"/>
                <w:lang w:eastAsia="en-GB"/>
              </w:rPr>
            </w:pPr>
            <w:r w:rsidRPr="003A26C2">
              <w:rPr>
                <w:rFonts w:eastAsia="Times New Roman"/>
                <w:color w:val="000000"/>
                <w:sz w:val="25"/>
                <w:szCs w:val="25"/>
                <w:lang w:eastAsia="en-GB"/>
              </w:rPr>
              <w:t>Identifying peculiarities and priorities in regions</w:t>
            </w:r>
          </w:p>
        </w:tc>
      </w:tr>
      <w:tr w:rsidR="00856D3A" w:rsidRPr="00410317" w:rsidTr="00460727">
        <w:trPr>
          <w:trHeight w:val="280"/>
        </w:trPr>
        <w:tc>
          <w:tcPr>
            <w:tcW w:w="1600" w:type="dxa"/>
            <w:tcBorders>
              <w:top w:val="nil"/>
              <w:left w:val="single" w:sz="8" w:space="0" w:color="auto"/>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 </w:t>
            </w:r>
          </w:p>
        </w:tc>
        <w:tc>
          <w:tcPr>
            <w:tcW w:w="7940" w:type="dxa"/>
            <w:tcBorders>
              <w:top w:val="nil"/>
              <w:left w:val="nil"/>
              <w:bottom w:val="nil"/>
              <w:right w:val="single" w:sz="8" w:space="0" w:color="auto"/>
            </w:tcBorders>
            <w:shd w:val="clear" w:color="auto" w:fill="auto"/>
            <w:noWrap/>
            <w:hideMark/>
          </w:tcPr>
          <w:p w:rsidR="00856D3A" w:rsidRPr="003A26C2" w:rsidRDefault="00856D3A" w:rsidP="00460727">
            <w:pPr>
              <w:pStyle w:val="ListParagraph"/>
              <w:numPr>
                <w:ilvl w:val="0"/>
                <w:numId w:val="2"/>
              </w:numPr>
              <w:rPr>
                <w:sz w:val="25"/>
                <w:szCs w:val="25"/>
              </w:rPr>
            </w:pPr>
            <w:r w:rsidRPr="003A26C2">
              <w:rPr>
                <w:rFonts w:eastAsia="Times New Roman"/>
                <w:color w:val="000000"/>
                <w:sz w:val="25"/>
                <w:szCs w:val="25"/>
                <w:lang w:eastAsia="en-GB"/>
              </w:rPr>
              <w:t>Setting a timeline/workplan for collective action</w:t>
            </w:r>
          </w:p>
        </w:tc>
      </w:tr>
      <w:tr w:rsidR="00856D3A" w:rsidRPr="003A26C2" w:rsidTr="00460727">
        <w:trPr>
          <w:trHeight w:val="290"/>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13:00 - 14:30</w:t>
            </w:r>
          </w:p>
        </w:tc>
        <w:tc>
          <w:tcPr>
            <w:tcW w:w="7940" w:type="dxa"/>
            <w:tcBorders>
              <w:top w:val="single" w:sz="8" w:space="0" w:color="auto"/>
              <w:left w:val="nil"/>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Lunch Break</w:t>
            </w:r>
          </w:p>
        </w:tc>
      </w:tr>
      <w:tr w:rsidR="00856D3A" w:rsidRPr="00410317" w:rsidTr="00460727">
        <w:trPr>
          <w:trHeight w:val="280"/>
        </w:trPr>
        <w:tc>
          <w:tcPr>
            <w:tcW w:w="1600" w:type="dxa"/>
            <w:tcBorders>
              <w:top w:val="nil"/>
              <w:left w:val="single" w:sz="8" w:space="0" w:color="auto"/>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14:30- 15:45</w:t>
            </w:r>
          </w:p>
        </w:tc>
        <w:tc>
          <w:tcPr>
            <w:tcW w:w="7940" w:type="dxa"/>
            <w:tcBorders>
              <w:top w:val="nil"/>
              <w:left w:val="nil"/>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b/>
                <w:bCs/>
                <w:color w:val="000000"/>
                <w:sz w:val="25"/>
                <w:szCs w:val="25"/>
                <w:lang w:val="en-GB" w:eastAsia="en-GB"/>
              </w:rPr>
              <w:t xml:space="preserve">Panel 2: </w:t>
            </w:r>
            <w:r w:rsidR="00410317" w:rsidRPr="003A26C2">
              <w:rPr>
                <w:rFonts w:ascii="Calibri" w:eastAsia="Times New Roman" w:hAnsi="Calibri"/>
                <w:b/>
                <w:bCs/>
                <w:color w:val="000000"/>
                <w:sz w:val="25"/>
                <w:szCs w:val="25"/>
                <w:lang w:val="en-GB" w:eastAsia="en-GB"/>
              </w:rPr>
              <w:t>Privatisation/MNCs/PPPs: strategic considerations for action</w:t>
            </w:r>
          </w:p>
        </w:tc>
      </w:tr>
      <w:tr w:rsidR="00856D3A" w:rsidRPr="00410317" w:rsidTr="00460727">
        <w:trPr>
          <w:trHeight w:val="280"/>
        </w:trPr>
        <w:tc>
          <w:tcPr>
            <w:tcW w:w="1600" w:type="dxa"/>
            <w:tcBorders>
              <w:top w:val="nil"/>
              <w:left w:val="single" w:sz="8" w:space="0" w:color="auto"/>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 </w:t>
            </w:r>
          </w:p>
        </w:tc>
        <w:tc>
          <w:tcPr>
            <w:tcW w:w="7940" w:type="dxa"/>
            <w:tcBorders>
              <w:top w:val="nil"/>
              <w:left w:val="nil"/>
              <w:bottom w:val="nil"/>
              <w:right w:val="single" w:sz="8" w:space="0" w:color="auto"/>
            </w:tcBorders>
            <w:shd w:val="clear" w:color="auto" w:fill="auto"/>
            <w:noWrap/>
            <w:vAlign w:val="bottom"/>
            <w:hideMark/>
          </w:tcPr>
          <w:p w:rsidR="00856D3A" w:rsidRPr="003A26C2" w:rsidRDefault="00410317" w:rsidP="00460727">
            <w:pPr>
              <w:rPr>
                <w:rFonts w:ascii="Calibri" w:eastAsia="Times New Roman" w:hAnsi="Calibri"/>
                <w:i/>
                <w:color w:val="000000"/>
                <w:sz w:val="25"/>
                <w:szCs w:val="25"/>
                <w:lang w:val="en-GB" w:eastAsia="en-GB"/>
              </w:rPr>
            </w:pPr>
            <w:r w:rsidRPr="003A26C2">
              <w:rPr>
                <w:rFonts w:ascii="Calibri" w:eastAsia="Times New Roman" w:hAnsi="Calibri"/>
                <w:color w:val="000000"/>
                <w:sz w:val="25"/>
                <w:szCs w:val="25"/>
                <w:lang w:val="en-GB" w:eastAsia="en-GB"/>
              </w:rPr>
              <w:t>A look at developments since the 2016 HSSTF and what we should be concretely doing now.</w:t>
            </w:r>
          </w:p>
        </w:tc>
      </w:tr>
      <w:tr w:rsidR="00856D3A" w:rsidRPr="00410317" w:rsidTr="00460727">
        <w:trPr>
          <w:trHeight w:val="290"/>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bookmarkStart w:id="1" w:name="_Hlk501544237"/>
            <w:r w:rsidRPr="003A26C2">
              <w:rPr>
                <w:rFonts w:ascii="Calibri" w:eastAsia="Times New Roman" w:hAnsi="Calibri"/>
                <w:color w:val="000000"/>
                <w:sz w:val="25"/>
                <w:szCs w:val="25"/>
                <w:lang w:val="en-GB" w:eastAsia="en-GB"/>
              </w:rPr>
              <w:t>15:45 - 16:30</w:t>
            </w:r>
          </w:p>
        </w:tc>
        <w:tc>
          <w:tcPr>
            <w:tcW w:w="7940" w:type="dxa"/>
            <w:tcBorders>
              <w:top w:val="single" w:sz="8" w:space="0" w:color="auto"/>
              <w:left w:val="nil"/>
              <w:bottom w:val="single" w:sz="8" w:space="0" w:color="auto"/>
              <w:right w:val="single" w:sz="8" w:space="0" w:color="auto"/>
            </w:tcBorders>
            <w:shd w:val="clear" w:color="auto" w:fill="auto"/>
            <w:noWrap/>
            <w:vAlign w:val="bottom"/>
            <w:hideMark/>
          </w:tcPr>
          <w:p w:rsidR="00856D3A" w:rsidRPr="00410317" w:rsidRDefault="00856D3A" w:rsidP="00410317">
            <w:pPr>
              <w:pStyle w:val="Heading1"/>
            </w:pPr>
            <w:r w:rsidRPr="003A26C2">
              <w:rPr>
                <w:rFonts w:ascii="Calibri" w:eastAsia="Times New Roman" w:hAnsi="Calibri"/>
                <w:bCs/>
                <w:color w:val="000000"/>
                <w:lang w:eastAsia="en-GB"/>
              </w:rPr>
              <w:t xml:space="preserve">Panel 3: </w:t>
            </w:r>
            <w:r w:rsidR="00410317">
              <w:t>Financing</w:t>
            </w:r>
            <w:r w:rsidR="00410317">
              <w:t xml:space="preserve"> Health C</w:t>
            </w:r>
            <w:r w:rsidR="00410317">
              <w:t>are; concerns of health workers</w:t>
            </w:r>
          </w:p>
        </w:tc>
      </w:tr>
      <w:bookmarkEnd w:id="1"/>
      <w:tr w:rsidR="00856D3A" w:rsidRPr="00410317" w:rsidTr="00460727">
        <w:trPr>
          <w:trHeight w:val="280"/>
        </w:trPr>
        <w:tc>
          <w:tcPr>
            <w:tcW w:w="1600" w:type="dxa"/>
            <w:tcBorders>
              <w:top w:val="nil"/>
              <w:left w:val="single" w:sz="8" w:space="0" w:color="auto"/>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 </w:t>
            </w:r>
          </w:p>
        </w:tc>
        <w:tc>
          <w:tcPr>
            <w:tcW w:w="7940" w:type="dxa"/>
            <w:tcBorders>
              <w:top w:val="nil"/>
              <w:left w:val="nil"/>
              <w:bottom w:val="nil"/>
              <w:right w:val="single" w:sz="8" w:space="0" w:color="auto"/>
            </w:tcBorders>
            <w:shd w:val="clear" w:color="auto" w:fill="auto"/>
            <w:noWrap/>
            <w:vAlign w:val="bottom"/>
            <w:hideMark/>
          </w:tcPr>
          <w:p w:rsidR="00856D3A" w:rsidRPr="003A26C2" w:rsidRDefault="00410317" w:rsidP="00460727">
            <w:pPr>
              <w:rPr>
                <w:rFonts w:ascii="Calibri" w:eastAsia="Times New Roman" w:hAnsi="Calibri"/>
                <w:i/>
                <w:color w:val="000000"/>
                <w:sz w:val="25"/>
                <w:szCs w:val="25"/>
                <w:lang w:val="en-GB" w:eastAsia="en-GB"/>
              </w:rPr>
            </w:pPr>
            <w:r>
              <w:rPr>
                <w:rFonts w:ascii="Calibri" w:eastAsia="Times New Roman" w:hAnsi="Calibri"/>
                <w:color w:val="000000"/>
                <w:sz w:val="25"/>
                <w:szCs w:val="25"/>
                <w:lang w:val="en-GB" w:eastAsia="en-GB"/>
              </w:rPr>
              <w:t>Financing public health, challenging austerity measures, fighting for improvement in employment and working conditions of health workers: lessons, challenges and prospects</w:t>
            </w:r>
            <w:r w:rsidR="00856D3A" w:rsidRPr="003A26C2">
              <w:rPr>
                <w:rFonts w:ascii="Calibri" w:eastAsia="Times New Roman" w:hAnsi="Calibri"/>
                <w:color w:val="000000"/>
                <w:sz w:val="25"/>
                <w:szCs w:val="25"/>
                <w:lang w:val="en-GB" w:eastAsia="en-GB"/>
              </w:rPr>
              <w:t>.</w:t>
            </w:r>
          </w:p>
        </w:tc>
      </w:tr>
      <w:tr w:rsidR="00856D3A" w:rsidRPr="00410317" w:rsidTr="00460727">
        <w:trPr>
          <w:trHeight w:val="290"/>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16:30 - 17:15</w:t>
            </w:r>
          </w:p>
        </w:tc>
        <w:tc>
          <w:tcPr>
            <w:tcW w:w="7940" w:type="dxa"/>
            <w:tcBorders>
              <w:top w:val="single" w:sz="8" w:space="0" w:color="auto"/>
              <w:left w:val="nil"/>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i/>
                <w:color w:val="000000"/>
                <w:sz w:val="25"/>
                <w:szCs w:val="25"/>
                <w:lang w:val="en-GB" w:eastAsia="en-GB"/>
              </w:rPr>
            </w:pPr>
            <w:r w:rsidRPr="003A26C2">
              <w:rPr>
                <w:rFonts w:ascii="Calibri" w:eastAsia="Times New Roman" w:hAnsi="Calibri"/>
                <w:b/>
                <w:bCs/>
                <w:color w:val="000000"/>
                <w:sz w:val="25"/>
                <w:szCs w:val="25"/>
                <w:lang w:val="en-GB" w:eastAsia="en-GB"/>
              </w:rPr>
              <w:t xml:space="preserve">Panel 4: </w:t>
            </w:r>
            <w:bookmarkStart w:id="2" w:name="_Hlk501674183"/>
            <w:r w:rsidRPr="003A26C2">
              <w:rPr>
                <w:rFonts w:ascii="Calibri" w:eastAsia="Times New Roman" w:hAnsi="Calibri"/>
                <w:b/>
                <w:bCs/>
                <w:color w:val="000000"/>
                <w:sz w:val="25"/>
                <w:szCs w:val="25"/>
                <w:lang w:val="en-GB" w:eastAsia="en-GB"/>
              </w:rPr>
              <w:t xml:space="preserve">International Platform on Health Worker Migration </w:t>
            </w:r>
            <w:bookmarkEnd w:id="2"/>
          </w:p>
        </w:tc>
      </w:tr>
      <w:tr w:rsidR="00856D3A" w:rsidRPr="00410317" w:rsidTr="00460727">
        <w:trPr>
          <w:trHeight w:val="290"/>
        </w:trPr>
        <w:tc>
          <w:tcPr>
            <w:tcW w:w="1600" w:type="dxa"/>
            <w:tcBorders>
              <w:top w:val="nil"/>
              <w:left w:val="single" w:sz="8" w:space="0" w:color="auto"/>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 </w:t>
            </w:r>
          </w:p>
        </w:tc>
        <w:tc>
          <w:tcPr>
            <w:tcW w:w="7940" w:type="dxa"/>
            <w:tcBorders>
              <w:top w:val="nil"/>
              <w:left w:val="nil"/>
              <w:bottom w:val="nil"/>
              <w:right w:val="single" w:sz="8" w:space="0" w:color="auto"/>
            </w:tcBorders>
            <w:shd w:val="clear" w:color="auto" w:fill="auto"/>
            <w:noWrap/>
            <w:vAlign w:val="bottom"/>
            <w:hideMark/>
          </w:tcPr>
          <w:p w:rsidR="00856D3A" w:rsidRPr="003A26C2"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color w:val="000000"/>
                <w:sz w:val="25"/>
                <w:szCs w:val="25"/>
                <w:lang w:val="en-GB" w:eastAsia="en-GB"/>
              </w:rPr>
              <w:t>Contextualising the unfolding dynamics of global governance on health labour migration: understanding the Global Skills Partnership and influencing the framing of its narrative</w:t>
            </w:r>
          </w:p>
        </w:tc>
      </w:tr>
      <w:tr w:rsidR="00856D3A" w:rsidRPr="003A26C2" w:rsidTr="00460727">
        <w:trPr>
          <w:trHeight w:val="290"/>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17.15 -17.45</w:t>
            </w:r>
          </w:p>
        </w:tc>
        <w:tc>
          <w:tcPr>
            <w:tcW w:w="7940" w:type="dxa"/>
            <w:tcBorders>
              <w:top w:val="single" w:sz="8" w:space="0" w:color="auto"/>
              <w:left w:val="nil"/>
              <w:bottom w:val="single" w:sz="8" w:space="0" w:color="auto"/>
              <w:right w:val="single" w:sz="8" w:space="0" w:color="auto"/>
            </w:tcBorders>
            <w:shd w:val="clear" w:color="auto" w:fill="auto"/>
            <w:noWrap/>
            <w:vAlign w:val="bottom"/>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bCs/>
                <w:color w:val="000000"/>
                <w:sz w:val="25"/>
                <w:szCs w:val="25"/>
                <w:lang w:val="en-GB" w:eastAsia="en-GB"/>
              </w:rPr>
              <w:t>Break</w:t>
            </w:r>
          </w:p>
        </w:tc>
      </w:tr>
      <w:tr w:rsidR="00856D3A" w:rsidRPr="00410317" w:rsidTr="00460727">
        <w:trPr>
          <w:trHeight w:val="290"/>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17.45 – 18.15</w:t>
            </w:r>
          </w:p>
        </w:tc>
        <w:tc>
          <w:tcPr>
            <w:tcW w:w="7940" w:type="dxa"/>
            <w:tcBorders>
              <w:top w:val="single" w:sz="8" w:space="0" w:color="auto"/>
              <w:left w:val="nil"/>
              <w:bottom w:val="single" w:sz="8" w:space="0" w:color="auto"/>
              <w:right w:val="single" w:sz="8" w:space="0" w:color="auto"/>
            </w:tcBorders>
            <w:shd w:val="clear" w:color="auto" w:fill="auto"/>
            <w:noWrap/>
            <w:vAlign w:val="bottom"/>
          </w:tcPr>
          <w:p w:rsidR="00856D3A" w:rsidRPr="003A26C2"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b/>
                <w:bCs/>
                <w:color w:val="000000"/>
                <w:sz w:val="25"/>
                <w:szCs w:val="25"/>
                <w:lang w:val="en-GB" w:eastAsia="en-GB"/>
              </w:rPr>
              <w:t>Group (work on the workplan): session 1</w:t>
            </w:r>
          </w:p>
        </w:tc>
      </w:tr>
      <w:tr w:rsidR="00856D3A" w:rsidRPr="003A26C2" w:rsidTr="00460727">
        <w:trPr>
          <w:trHeight w:val="290"/>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18.15 – 19.30</w:t>
            </w:r>
          </w:p>
        </w:tc>
        <w:tc>
          <w:tcPr>
            <w:tcW w:w="7940" w:type="dxa"/>
            <w:tcBorders>
              <w:top w:val="single" w:sz="8" w:space="0" w:color="auto"/>
              <w:left w:val="nil"/>
              <w:bottom w:val="single" w:sz="8" w:space="0" w:color="auto"/>
              <w:right w:val="single" w:sz="8" w:space="0" w:color="auto"/>
            </w:tcBorders>
            <w:shd w:val="clear" w:color="auto" w:fill="auto"/>
            <w:noWrap/>
            <w:vAlign w:val="bottom"/>
          </w:tcPr>
          <w:p w:rsidR="00856D3A" w:rsidRPr="003A26C2" w:rsidRDefault="00856D3A" w:rsidP="00460727">
            <w:pPr>
              <w:rPr>
                <w:rFonts w:ascii="Calibri" w:eastAsia="Times New Roman" w:hAnsi="Calibri"/>
                <w:bCs/>
                <w:i/>
                <w:color w:val="000000"/>
                <w:sz w:val="25"/>
                <w:szCs w:val="25"/>
                <w:lang w:val="en-GB" w:eastAsia="en-GB"/>
              </w:rPr>
            </w:pPr>
            <w:r w:rsidRPr="003A26C2">
              <w:rPr>
                <w:rFonts w:ascii="Calibri" w:eastAsia="Times New Roman" w:hAnsi="Calibri"/>
                <w:bCs/>
                <w:color w:val="000000"/>
                <w:sz w:val="25"/>
                <w:szCs w:val="25"/>
                <w:lang w:val="en-GB" w:eastAsia="en-GB"/>
              </w:rPr>
              <w:t>Reception</w:t>
            </w:r>
          </w:p>
        </w:tc>
      </w:tr>
    </w:tbl>
    <w:p w:rsidR="00856D3A" w:rsidRPr="003A26C2" w:rsidRDefault="00856D3A" w:rsidP="00856D3A">
      <w:pPr>
        <w:rPr>
          <w:sz w:val="25"/>
          <w:szCs w:val="25"/>
        </w:rPr>
      </w:pPr>
    </w:p>
    <w:tbl>
      <w:tblPr>
        <w:tblW w:w="9540" w:type="dxa"/>
        <w:tblInd w:w="-10" w:type="dxa"/>
        <w:tblLook w:val="04A0" w:firstRow="1" w:lastRow="0" w:firstColumn="1" w:lastColumn="0" w:noHBand="0" w:noVBand="1"/>
      </w:tblPr>
      <w:tblGrid>
        <w:gridCol w:w="1600"/>
        <w:gridCol w:w="7940"/>
      </w:tblGrid>
      <w:tr w:rsidR="00856D3A" w:rsidRPr="003A26C2" w:rsidTr="00460727">
        <w:trPr>
          <w:trHeight w:val="290"/>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 </w:t>
            </w:r>
          </w:p>
        </w:tc>
        <w:tc>
          <w:tcPr>
            <w:tcW w:w="7940" w:type="dxa"/>
            <w:tcBorders>
              <w:top w:val="single" w:sz="8" w:space="0" w:color="auto"/>
              <w:left w:val="nil"/>
              <w:bottom w:val="single" w:sz="8" w:space="0" w:color="auto"/>
              <w:right w:val="single" w:sz="8" w:space="0" w:color="auto"/>
            </w:tcBorders>
            <w:shd w:val="clear" w:color="auto" w:fill="auto"/>
            <w:noWrap/>
            <w:vAlign w:val="bottom"/>
          </w:tcPr>
          <w:p w:rsidR="00856D3A" w:rsidRPr="003A26C2" w:rsidRDefault="00856D3A" w:rsidP="00460727">
            <w:pPr>
              <w:rPr>
                <w:rFonts w:ascii="Calibri" w:eastAsia="Times New Roman" w:hAnsi="Calibri"/>
                <w:bCs/>
                <w:color w:val="000000"/>
                <w:sz w:val="25"/>
                <w:szCs w:val="25"/>
                <w:lang w:val="en-GB" w:eastAsia="en-GB"/>
              </w:rPr>
            </w:pPr>
            <w:r w:rsidRPr="003A26C2">
              <w:rPr>
                <w:rFonts w:ascii="Calibri" w:eastAsia="Times New Roman" w:hAnsi="Calibri"/>
                <w:b/>
                <w:bCs/>
                <w:color w:val="000000"/>
                <w:sz w:val="25"/>
                <w:szCs w:val="25"/>
                <w:lang w:val="en-GB" w:eastAsia="en-GB"/>
              </w:rPr>
              <w:t>Friday 16 February 2017</w:t>
            </w:r>
          </w:p>
        </w:tc>
      </w:tr>
      <w:tr w:rsidR="00856D3A" w:rsidRPr="00410317" w:rsidTr="00B63E98">
        <w:trPr>
          <w:trHeight w:val="290"/>
        </w:trPr>
        <w:tc>
          <w:tcPr>
            <w:tcW w:w="1600" w:type="dxa"/>
            <w:tcBorders>
              <w:top w:val="nil"/>
              <w:left w:val="single" w:sz="8" w:space="0" w:color="auto"/>
              <w:bottom w:val="single" w:sz="4" w:space="0" w:color="auto"/>
              <w:right w:val="single" w:sz="8" w:space="0" w:color="000000"/>
            </w:tcBorders>
            <w:shd w:val="clear" w:color="auto" w:fill="auto"/>
            <w:noWrap/>
            <w:vAlign w:val="center"/>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9:00 – 10:30</w:t>
            </w:r>
          </w:p>
        </w:tc>
        <w:tc>
          <w:tcPr>
            <w:tcW w:w="7940" w:type="dxa"/>
            <w:tcBorders>
              <w:top w:val="nil"/>
              <w:left w:val="nil"/>
              <w:bottom w:val="single" w:sz="4" w:space="0" w:color="auto"/>
              <w:right w:val="single" w:sz="8" w:space="0" w:color="auto"/>
            </w:tcBorders>
            <w:shd w:val="clear" w:color="auto" w:fill="auto"/>
            <w:noWrap/>
            <w:vAlign w:val="center"/>
          </w:tcPr>
          <w:p w:rsidR="00856D3A" w:rsidRPr="003A26C2" w:rsidRDefault="00856D3A" w:rsidP="00460727">
            <w:pPr>
              <w:rPr>
                <w:rFonts w:ascii="Calibri" w:eastAsia="Times New Roman" w:hAnsi="Calibri"/>
                <w:bCs/>
                <w:color w:val="000000"/>
                <w:sz w:val="25"/>
                <w:szCs w:val="25"/>
                <w:lang w:val="en-GB" w:eastAsia="en-GB"/>
              </w:rPr>
            </w:pPr>
            <w:r w:rsidRPr="003A26C2">
              <w:rPr>
                <w:rFonts w:ascii="Calibri" w:eastAsia="Times New Roman" w:hAnsi="Calibri"/>
                <w:b/>
                <w:bCs/>
                <w:color w:val="000000"/>
                <w:sz w:val="25"/>
                <w:szCs w:val="25"/>
                <w:lang w:val="en-GB" w:eastAsia="en-GB"/>
              </w:rPr>
              <w:t xml:space="preserve">Panel 5: </w:t>
            </w:r>
            <w:bookmarkStart w:id="3" w:name="_Hlk501674238"/>
            <w:r w:rsidRPr="003A26C2">
              <w:rPr>
                <w:rFonts w:ascii="Calibri" w:eastAsia="Times New Roman" w:hAnsi="Calibri"/>
                <w:b/>
                <w:bCs/>
                <w:color w:val="000000"/>
                <w:sz w:val="25"/>
                <w:szCs w:val="25"/>
                <w:lang w:val="en-GB" w:eastAsia="en-GB"/>
              </w:rPr>
              <w:t>PSI Right to Health campaign; review and planning for 2018-2022</w:t>
            </w:r>
            <w:bookmarkEnd w:id="3"/>
          </w:p>
        </w:tc>
      </w:tr>
      <w:tr w:rsidR="00856D3A" w:rsidRPr="00410317" w:rsidTr="00B63E98">
        <w:trPr>
          <w:trHeight w:val="560"/>
        </w:trPr>
        <w:tc>
          <w:tcPr>
            <w:tcW w:w="1600" w:type="dxa"/>
            <w:tcBorders>
              <w:top w:val="single" w:sz="4" w:space="0" w:color="auto"/>
              <w:left w:val="single" w:sz="8" w:space="0" w:color="auto"/>
              <w:bottom w:val="single" w:sz="4" w:space="0" w:color="auto"/>
              <w:right w:val="single" w:sz="8" w:space="0" w:color="000000"/>
            </w:tcBorders>
            <w:vAlign w:val="center"/>
            <w:hideMark/>
          </w:tcPr>
          <w:p w:rsidR="00856D3A" w:rsidRPr="003A26C2" w:rsidRDefault="00856D3A" w:rsidP="00460727">
            <w:pPr>
              <w:rPr>
                <w:rFonts w:ascii="Calibri" w:eastAsia="Times New Roman" w:hAnsi="Calibri"/>
                <w:color w:val="000000"/>
                <w:sz w:val="25"/>
                <w:szCs w:val="25"/>
                <w:lang w:val="en-GB" w:eastAsia="en-GB"/>
              </w:rPr>
            </w:pPr>
          </w:p>
        </w:tc>
        <w:tc>
          <w:tcPr>
            <w:tcW w:w="7940" w:type="dxa"/>
            <w:tcBorders>
              <w:top w:val="single" w:sz="4" w:space="0" w:color="auto"/>
              <w:left w:val="nil"/>
              <w:bottom w:val="single" w:sz="4" w:space="0" w:color="auto"/>
              <w:right w:val="single" w:sz="8" w:space="0" w:color="auto"/>
            </w:tcBorders>
            <w:shd w:val="clear" w:color="auto" w:fill="auto"/>
            <w:vAlign w:val="center"/>
            <w:hideMark/>
          </w:tcPr>
          <w:p w:rsidR="00856D3A" w:rsidRPr="003A26C2" w:rsidRDefault="00856D3A" w:rsidP="00460727">
            <w:pPr>
              <w:pStyle w:val="ListParagraph"/>
              <w:numPr>
                <w:ilvl w:val="0"/>
                <w:numId w:val="2"/>
              </w:numPr>
              <w:rPr>
                <w:rFonts w:eastAsia="Times New Roman"/>
                <w:b/>
                <w:bCs/>
                <w:color w:val="000000"/>
                <w:sz w:val="25"/>
                <w:szCs w:val="25"/>
                <w:lang w:eastAsia="en-GB"/>
              </w:rPr>
            </w:pPr>
            <w:r w:rsidRPr="003A26C2">
              <w:rPr>
                <w:rFonts w:eastAsia="Times New Roman"/>
                <w:bCs/>
                <w:color w:val="000000"/>
                <w:sz w:val="25"/>
                <w:szCs w:val="25"/>
                <w:lang w:eastAsia="en-GB"/>
              </w:rPr>
              <w:t>Exploratory evaluation of the pilot phase December 2016-October 2017</w:t>
            </w:r>
          </w:p>
          <w:p w:rsidR="00856D3A" w:rsidRPr="003A26C2" w:rsidRDefault="00856D3A" w:rsidP="00460727">
            <w:pPr>
              <w:pStyle w:val="ListParagraph"/>
              <w:numPr>
                <w:ilvl w:val="0"/>
                <w:numId w:val="2"/>
              </w:numPr>
              <w:rPr>
                <w:rFonts w:eastAsia="Times New Roman"/>
                <w:b/>
                <w:bCs/>
                <w:color w:val="000000"/>
                <w:sz w:val="25"/>
                <w:szCs w:val="25"/>
                <w:lang w:eastAsia="en-GB"/>
              </w:rPr>
            </w:pPr>
            <w:r w:rsidRPr="003A26C2">
              <w:rPr>
                <w:rFonts w:eastAsia="Times New Roman"/>
                <w:bCs/>
                <w:color w:val="000000"/>
                <w:sz w:val="25"/>
                <w:szCs w:val="25"/>
                <w:lang w:eastAsia="en-GB"/>
              </w:rPr>
              <w:lastRenderedPageBreak/>
              <w:t>Discussion on how the campaign relates with the sectorial work in general</w:t>
            </w:r>
          </w:p>
          <w:p w:rsidR="00856D3A" w:rsidRPr="003A26C2" w:rsidRDefault="00856D3A" w:rsidP="00460727">
            <w:pPr>
              <w:pStyle w:val="ListParagraph"/>
              <w:numPr>
                <w:ilvl w:val="0"/>
                <w:numId w:val="2"/>
              </w:numPr>
              <w:rPr>
                <w:rFonts w:eastAsia="Times New Roman"/>
                <w:b/>
                <w:bCs/>
                <w:color w:val="000000"/>
                <w:sz w:val="25"/>
                <w:szCs w:val="25"/>
                <w:lang w:eastAsia="en-GB"/>
              </w:rPr>
            </w:pPr>
            <w:r w:rsidRPr="003A26C2">
              <w:rPr>
                <w:rFonts w:eastAsia="Times New Roman"/>
                <w:bCs/>
                <w:color w:val="000000"/>
                <w:sz w:val="25"/>
                <w:szCs w:val="25"/>
                <w:lang w:eastAsia="en-GB"/>
              </w:rPr>
              <w:t>Consideration of steps to be taken in 2018-2022</w:t>
            </w:r>
          </w:p>
        </w:tc>
      </w:tr>
      <w:tr w:rsidR="00856D3A" w:rsidRPr="003A26C2" w:rsidTr="00460727">
        <w:trPr>
          <w:trHeight w:val="290"/>
        </w:trPr>
        <w:tc>
          <w:tcPr>
            <w:tcW w:w="16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lastRenderedPageBreak/>
              <w:t>10:30 – 11:00</w:t>
            </w:r>
          </w:p>
        </w:tc>
        <w:tc>
          <w:tcPr>
            <w:tcW w:w="7940" w:type="dxa"/>
            <w:tcBorders>
              <w:top w:val="nil"/>
              <w:left w:val="nil"/>
              <w:bottom w:val="single" w:sz="4" w:space="0" w:color="auto"/>
              <w:right w:val="single" w:sz="8" w:space="0" w:color="auto"/>
            </w:tcBorders>
            <w:shd w:val="clear" w:color="auto" w:fill="auto"/>
            <w:vAlign w:val="center"/>
            <w:hideMark/>
          </w:tcPr>
          <w:p w:rsidR="00856D3A" w:rsidRPr="003A26C2" w:rsidRDefault="00856D3A" w:rsidP="00460727">
            <w:pPr>
              <w:rPr>
                <w:rFonts w:ascii="Calibri" w:eastAsia="Times New Roman" w:hAnsi="Calibri"/>
                <w:i/>
                <w:color w:val="000000"/>
                <w:sz w:val="25"/>
                <w:szCs w:val="25"/>
                <w:lang w:val="en-GB" w:eastAsia="en-GB"/>
              </w:rPr>
            </w:pPr>
            <w:r w:rsidRPr="003A26C2">
              <w:rPr>
                <w:rFonts w:ascii="Calibri" w:eastAsia="Times New Roman" w:hAnsi="Calibri"/>
                <w:color w:val="000000"/>
                <w:sz w:val="25"/>
                <w:szCs w:val="25"/>
                <w:lang w:val="en-GB" w:eastAsia="en-GB"/>
              </w:rPr>
              <w:t>Break</w:t>
            </w:r>
          </w:p>
        </w:tc>
      </w:tr>
      <w:tr w:rsidR="00856D3A" w:rsidRPr="00410317" w:rsidTr="00460727">
        <w:trPr>
          <w:trHeight w:val="290"/>
        </w:trPr>
        <w:tc>
          <w:tcPr>
            <w:tcW w:w="1600"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11:00 - 12:30</w:t>
            </w:r>
          </w:p>
        </w:tc>
        <w:tc>
          <w:tcPr>
            <w:tcW w:w="7940" w:type="dxa"/>
            <w:tcBorders>
              <w:top w:val="single" w:sz="4" w:space="0" w:color="auto"/>
              <w:left w:val="nil"/>
              <w:bottom w:val="single" w:sz="8" w:space="0" w:color="000000"/>
              <w:right w:val="single" w:sz="8" w:space="0" w:color="auto"/>
            </w:tcBorders>
            <w:shd w:val="clear" w:color="auto" w:fill="auto"/>
            <w:vAlign w:val="center"/>
            <w:hideMark/>
          </w:tcPr>
          <w:p w:rsidR="00856D3A" w:rsidRPr="003A26C2"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b/>
                <w:bCs/>
                <w:color w:val="000000"/>
                <w:sz w:val="25"/>
                <w:szCs w:val="25"/>
                <w:lang w:val="en-GB" w:eastAsia="en-GB"/>
              </w:rPr>
              <w:t xml:space="preserve">Panel 6: </w:t>
            </w:r>
            <w:bookmarkStart w:id="4" w:name="_Hlk501674273"/>
            <w:r w:rsidRPr="003A26C2">
              <w:rPr>
                <w:rFonts w:ascii="Calibri" w:eastAsia="Times New Roman" w:hAnsi="Calibri"/>
                <w:b/>
                <w:bCs/>
                <w:i/>
                <w:color w:val="000000"/>
                <w:sz w:val="25"/>
                <w:szCs w:val="25"/>
                <w:lang w:val="en-GB" w:eastAsia="en-GB"/>
              </w:rPr>
              <w:t>Working for Health</w:t>
            </w:r>
            <w:r w:rsidRPr="003A26C2">
              <w:rPr>
                <w:rFonts w:ascii="Calibri" w:eastAsia="Times New Roman" w:hAnsi="Calibri"/>
                <w:b/>
                <w:bCs/>
                <w:color w:val="000000"/>
                <w:sz w:val="25"/>
                <w:szCs w:val="25"/>
                <w:lang w:val="en-GB" w:eastAsia="en-GB"/>
              </w:rPr>
              <w:t>: deepening cooperation with the WHO &amp; ILO</w:t>
            </w:r>
          </w:p>
          <w:bookmarkEnd w:id="4"/>
          <w:p w:rsidR="00856D3A" w:rsidRPr="003A26C2" w:rsidRDefault="00856D3A" w:rsidP="00460727">
            <w:pPr>
              <w:pStyle w:val="ListParagraph"/>
              <w:numPr>
                <w:ilvl w:val="0"/>
                <w:numId w:val="2"/>
              </w:numPr>
              <w:rPr>
                <w:rFonts w:eastAsia="Times New Roman"/>
                <w:color w:val="000000"/>
                <w:sz w:val="25"/>
                <w:szCs w:val="25"/>
                <w:lang w:eastAsia="en-GB"/>
              </w:rPr>
            </w:pPr>
            <w:r w:rsidRPr="003A26C2">
              <w:rPr>
                <w:rFonts w:eastAsia="Times New Roman"/>
                <w:color w:val="000000"/>
                <w:sz w:val="25"/>
                <w:szCs w:val="25"/>
                <w:lang w:eastAsia="en-GB"/>
              </w:rPr>
              <w:t>Collaboration with the WHO</w:t>
            </w:r>
            <w:r>
              <w:rPr>
                <w:rFonts w:eastAsia="Times New Roman"/>
                <w:color w:val="000000"/>
                <w:sz w:val="25"/>
                <w:szCs w:val="25"/>
                <w:lang w:eastAsia="en-GB"/>
              </w:rPr>
              <w:t xml:space="preserve"> -Dr Tana </w:t>
            </w:r>
            <w:proofErr w:type="spellStart"/>
            <w:r>
              <w:rPr>
                <w:rFonts w:eastAsia="Times New Roman"/>
                <w:color w:val="000000"/>
                <w:sz w:val="25"/>
                <w:szCs w:val="25"/>
                <w:lang w:eastAsia="en-GB"/>
              </w:rPr>
              <w:t>Wuliji</w:t>
            </w:r>
            <w:proofErr w:type="spellEnd"/>
            <w:r>
              <w:rPr>
                <w:rFonts w:eastAsia="Times New Roman"/>
                <w:color w:val="000000"/>
                <w:sz w:val="25"/>
                <w:szCs w:val="25"/>
                <w:lang w:eastAsia="en-GB"/>
              </w:rPr>
              <w:t xml:space="preserve"> (WHO)</w:t>
            </w:r>
          </w:p>
          <w:p w:rsidR="00856D3A" w:rsidRPr="003A26C2" w:rsidRDefault="00856D3A" w:rsidP="00460727">
            <w:pPr>
              <w:pStyle w:val="ListParagraph"/>
              <w:numPr>
                <w:ilvl w:val="0"/>
                <w:numId w:val="2"/>
              </w:numPr>
              <w:rPr>
                <w:rFonts w:eastAsia="Times New Roman"/>
                <w:color w:val="000000"/>
                <w:sz w:val="25"/>
                <w:szCs w:val="25"/>
                <w:lang w:eastAsia="en-GB"/>
              </w:rPr>
            </w:pPr>
            <w:r w:rsidRPr="003A26C2">
              <w:rPr>
                <w:rFonts w:eastAsia="Times New Roman"/>
                <w:color w:val="000000"/>
                <w:sz w:val="25"/>
                <w:szCs w:val="25"/>
                <w:lang w:eastAsia="en-GB"/>
              </w:rPr>
              <w:t>ILO Tripartite meeting on Improving Employment and Working Conditions in the health services; from recommendations to action</w:t>
            </w:r>
            <w:r>
              <w:rPr>
                <w:rFonts w:eastAsia="Times New Roman"/>
                <w:color w:val="000000"/>
                <w:sz w:val="25"/>
                <w:szCs w:val="25"/>
                <w:lang w:eastAsia="en-GB"/>
              </w:rPr>
              <w:t xml:space="preserve"> – Christine Wiskow (ILO) </w:t>
            </w:r>
          </w:p>
        </w:tc>
      </w:tr>
      <w:tr w:rsidR="00856D3A" w:rsidRPr="003A26C2" w:rsidTr="00460727">
        <w:trPr>
          <w:trHeight w:val="850"/>
        </w:trPr>
        <w:tc>
          <w:tcPr>
            <w:tcW w:w="1600" w:type="dxa"/>
            <w:tcBorders>
              <w:top w:val="nil"/>
              <w:left w:val="single" w:sz="8" w:space="0" w:color="auto"/>
              <w:bottom w:val="single" w:sz="8" w:space="0" w:color="000000"/>
              <w:right w:val="single" w:sz="8" w:space="0" w:color="000000"/>
            </w:tcBorders>
            <w:shd w:val="clear" w:color="auto" w:fill="auto"/>
            <w:vAlign w:val="center"/>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12:30 – 14:00</w:t>
            </w:r>
          </w:p>
        </w:tc>
        <w:tc>
          <w:tcPr>
            <w:tcW w:w="7940" w:type="dxa"/>
            <w:tcBorders>
              <w:top w:val="nil"/>
              <w:left w:val="nil"/>
              <w:bottom w:val="single" w:sz="8" w:space="0" w:color="000000"/>
              <w:right w:val="single" w:sz="8" w:space="0" w:color="auto"/>
            </w:tcBorders>
            <w:shd w:val="clear" w:color="auto" w:fill="auto"/>
            <w:vAlign w:val="center"/>
            <w:hideMark/>
          </w:tcPr>
          <w:p w:rsidR="00856D3A" w:rsidRPr="003A26C2"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color w:val="000000"/>
                <w:sz w:val="25"/>
                <w:szCs w:val="25"/>
                <w:lang w:val="en-GB" w:eastAsia="en-GB"/>
              </w:rPr>
              <w:t>Lunch</w:t>
            </w:r>
          </w:p>
        </w:tc>
      </w:tr>
      <w:tr w:rsidR="00856D3A" w:rsidRPr="00410317" w:rsidTr="00460727">
        <w:trPr>
          <w:trHeight w:val="290"/>
        </w:trPr>
        <w:tc>
          <w:tcPr>
            <w:tcW w:w="1600" w:type="dxa"/>
            <w:tcBorders>
              <w:top w:val="nil"/>
              <w:left w:val="single" w:sz="8" w:space="0" w:color="auto"/>
              <w:bottom w:val="single" w:sz="8" w:space="0" w:color="auto"/>
              <w:right w:val="single" w:sz="8" w:space="0" w:color="000000"/>
            </w:tcBorders>
            <w:shd w:val="clear" w:color="auto" w:fill="auto"/>
            <w:vAlign w:val="center"/>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14:00 – 14.45</w:t>
            </w:r>
          </w:p>
        </w:tc>
        <w:tc>
          <w:tcPr>
            <w:tcW w:w="7940" w:type="dxa"/>
            <w:tcBorders>
              <w:top w:val="nil"/>
              <w:left w:val="nil"/>
              <w:bottom w:val="single" w:sz="8" w:space="0" w:color="auto"/>
              <w:right w:val="single" w:sz="8" w:space="0" w:color="auto"/>
            </w:tcBorders>
            <w:shd w:val="clear" w:color="auto" w:fill="auto"/>
            <w:vAlign w:val="center"/>
            <w:hideMark/>
          </w:tcPr>
          <w:p w:rsidR="00856D3A" w:rsidRPr="00410317"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b/>
                <w:bCs/>
                <w:color w:val="000000"/>
                <w:sz w:val="25"/>
                <w:szCs w:val="25"/>
                <w:lang w:val="en-GB" w:eastAsia="en-GB"/>
              </w:rPr>
              <w:t xml:space="preserve">Panel 7: </w:t>
            </w:r>
            <w:r w:rsidR="00410317">
              <w:rPr>
                <w:rFonts w:ascii="Calibri" w:eastAsia="Times New Roman" w:hAnsi="Calibri"/>
                <w:b/>
                <w:bCs/>
                <w:color w:val="000000"/>
                <w:sz w:val="25"/>
                <w:szCs w:val="25"/>
                <w:lang w:val="en-GB" w:eastAsia="en-GB"/>
              </w:rPr>
              <w:t xml:space="preserve">Social Work and Social Protection Systems: </w:t>
            </w:r>
            <w:r w:rsidR="00410317" w:rsidRPr="00410317">
              <w:rPr>
                <w:rFonts w:ascii="Calibri" w:eastAsia="Times New Roman" w:hAnsi="Calibri"/>
                <w:b/>
                <w:bCs/>
                <w:color w:val="000000"/>
                <w:sz w:val="25"/>
                <w:szCs w:val="25"/>
                <w:lang w:val="en-GB" w:eastAsia="en-GB"/>
              </w:rPr>
              <w:t xml:space="preserve">enhancing </w:t>
            </w:r>
            <w:r w:rsidR="00410317">
              <w:rPr>
                <w:rFonts w:ascii="Calibri" w:eastAsia="Times New Roman" w:hAnsi="Calibri"/>
                <w:b/>
                <w:bCs/>
                <w:color w:val="000000"/>
                <w:sz w:val="25"/>
                <w:szCs w:val="25"/>
                <w:lang w:val="en-GB" w:eastAsia="en-GB"/>
              </w:rPr>
              <w:t xml:space="preserve">PSI sectoral work in </w:t>
            </w:r>
            <w:r w:rsidR="00410317" w:rsidRPr="00410317">
              <w:rPr>
                <w:rFonts w:ascii="Calibri" w:eastAsia="Times New Roman" w:hAnsi="Calibri"/>
                <w:b/>
                <w:bCs/>
                <w:color w:val="000000"/>
                <w:sz w:val="25"/>
                <w:szCs w:val="25"/>
                <w:lang w:val="en-GB" w:eastAsia="en-GB"/>
              </w:rPr>
              <w:t>social services</w:t>
            </w:r>
          </w:p>
          <w:p w:rsidR="00856D3A" w:rsidRPr="003A26C2" w:rsidRDefault="009644B1" w:rsidP="00460727">
            <w:pPr>
              <w:pStyle w:val="ListParagraph"/>
              <w:numPr>
                <w:ilvl w:val="0"/>
                <w:numId w:val="2"/>
              </w:numPr>
              <w:rPr>
                <w:rFonts w:eastAsia="Times New Roman"/>
                <w:color w:val="000000"/>
                <w:sz w:val="25"/>
                <w:szCs w:val="25"/>
                <w:lang w:eastAsia="en-GB"/>
              </w:rPr>
            </w:pPr>
            <w:r>
              <w:rPr>
                <w:rFonts w:eastAsia="Times New Roman"/>
                <w:color w:val="000000"/>
                <w:sz w:val="25"/>
                <w:szCs w:val="25"/>
                <w:lang w:eastAsia="en-GB"/>
              </w:rPr>
              <w:t>Social Protection Floors and Universal Health Care</w:t>
            </w:r>
          </w:p>
          <w:p w:rsidR="00856D3A" w:rsidRPr="003A26C2" w:rsidRDefault="00594579" w:rsidP="00460727">
            <w:pPr>
              <w:pStyle w:val="ListParagraph"/>
              <w:numPr>
                <w:ilvl w:val="0"/>
                <w:numId w:val="2"/>
              </w:numPr>
              <w:rPr>
                <w:rFonts w:eastAsia="Times New Roman"/>
                <w:color w:val="000000"/>
                <w:sz w:val="25"/>
                <w:szCs w:val="25"/>
                <w:lang w:eastAsia="en-GB"/>
              </w:rPr>
            </w:pPr>
            <w:r>
              <w:rPr>
                <w:rFonts w:eastAsia="Times New Roman"/>
                <w:color w:val="000000"/>
                <w:sz w:val="25"/>
                <w:szCs w:val="25"/>
                <w:lang w:eastAsia="en-GB"/>
              </w:rPr>
              <w:t xml:space="preserve">Improving organising and representation in the social services </w:t>
            </w:r>
            <w:bookmarkStart w:id="5" w:name="_GoBack"/>
            <w:bookmarkEnd w:id="5"/>
          </w:p>
        </w:tc>
      </w:tr>
      <w:tr w:rsidR="00856D3A" w:rsidRPr="00410317" w:rsidTr="00460727">
        <w:trPr>
          <w:trHeight w:val="570"/>
        </w:trPr>
        <w:tc>
          <w:tcPr>
            <w:tcW w:w="1600" w:type="dxa"/>
            <w:tcBorders>
              <w:top w:val="nil"/>
              <w:left w:val="single" w:sz="8" w:space="0" w:color="auto"/>
              <w:bottom w:val="single" w:sz="8" w:space="0" w:color="auto"/>
              <w:right w:val="single" w:sz="8" w:space="0" w:color="000000"/>
            </w:tcBorders>
            <w:shd w:val="clear" w:color="auto" w:fill="auto"/>
            <w:vAlign w:val="center"/>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14.45 - 16:00</w:t>
            </w:r>
          </w:p>
        </w:tc>
        <w:tc>
          <w:tcPr>
            <w:tcW w:w="7940" w:type="dxa"/>
            <w:tcBorders>
              <w:top w:val="nil"/>
              <w:left w:val="nil"/>
              <w:bottom w:val="single" w:sz="8" w:space="0" w:color="auto"/>
              <w:right w:val="single" w:sz="8" w:space="0" w:color="auto"/>
            </w:tcBorders>
            <w:shd w:val="clear" w:color="auto" w:fill="auto"/>
            <w:vAlign w:val="center"/>
            <w:hideMark/>
          </w:tcPr>
          <w:p w:rsidR="00856D3A" w:rsidRPr="003A26C2"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b/>
                <w:bCs/>
                <w:color w:val="000000"/>
                <w:sz w:val="25"/>
                <w:szCs w:val="25"/>
                <w:lang w:val="en-GB" w:eastAsia="en-GB"/>
              </w:rPr>
              <w:t>Group work (on the workplan): session 2</w:t>
            </w:r>
          </w:p>
        </w:tc>
      </w:tr>
      <w:tr w:rsidR="00856D3A" w:rsidRPr="003A26C2" w:rsidTr="00460727">
        <w:trPr>
          <w:trHeight w:val="570"/>
        </w:trPr>
        <w:tc>
          <w:tcPr>
            <w:tcW w:w="1600" w:type="dxa"/>
            <w:tcBorders>
              <w:top w:val="nil"/>
              <w:left w:val="single" w:sz="8" w:space="0" w:color="auto"/>
              <w:bottom w:val="nil"/>
              <w:right w:val="single" w:sz="8" w:space="0" w:color="000000"/>
            </w:tcBorders>
            <w:shd w:val="clear" w:color="auto" w:fill="auto"/>
            <w:vAlign w:val="center"/>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16:00 – 16:30</w:t>
            </w:r>
          </w:p>
        </w:tc>
        <w:tc>
          <w:tcPr>
            <w:tcW w:w="7940" w:type="dxa"/>
            <w:tcBorders>
              <w:top w:val="nil"/>
              <w:left w:val="nil"/>
              <w:bottom w:val="nil"/>
              <w:right w:val="single" w:sz="8" w:space="0" w:color="auto"/>
            </w:tcBorders>
            <w:shd w:val="clear" w:color="auto" w:fill="auto"/>
            <w:vAlign w:val="center"/>
            <w:hideMark/>
          </w:tcPr>
          <w:p w:rsidR="00856D3A" w:rsidRPr="003A26C2"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color w:val="000000"/>
                <w:sz w:val="25"/>
                <w:szCs w:val="25"/>
                <w:lang w:val="en-GB" w:eastAsia="en-GB"/>
              </w:rPr>
              <w:t>Break</w:t>
            </w:r>
          </w:p>
        </w:tc>
      </w:tr>
      <w:tr w:rsidR="00856D3A" w:rsidRPr="00410317" w:rsidTr="00460727">
        <w:trPr>
          <w:trHeight w:val="290"/>
        </w:trPr>
        <w:tc>
          <w:tcPr>
            <w:tcW w:w="16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16:30 – 18:00</w:t>
            </w:r>
          </w:p>
        </w:tc>
        <w:tc>
          <w:tcPr>
            <w:tcW w:w="7940" w:type="dxa"/>
            <w:tcBorders>
              <w:top w:val="single" w:sz="8" w:space="0" w:color="auto"/>
              <w:left w:val="nil"/>
              <w:bottom w:val="nil"/>
              <w:right w:val="single" w:sz="8" w:space="0" w:color="auto"/>
            </w:tcBorders>
            <w:shd w:val="clear" w:color="auto" w:fill="auto"/>
            <w:vAlign w:val="center"/>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b/>
                <w:bCs/>
                <w:color w:val="000000"/>
                <w:sz w:val="25"/>
                <w:szCs w:val="25"/>
                <w:lang w:val="en-GB" w:eastAsia="en-GB"/>
              </w:rPr>
              <w:t xml:space="preserve">Plenary Discussion of Working Groups’ Submissions </w:t>
            </w:r>
          </w:p>
        </w:tc>
      </w:tr>
      <w:tr w:rsidR="00856D3A" w:rsidRPr="003A26C2" w:rsidTr="00460727">
        <w:trPr>
          <w:trHeight w:val="280"/>
        </w:trPr>
        <w:tc>
          <w:tcPr>
            <w:tcW w:w="1600" w:type="dxa"/>
            <w:vMerge w:val="restart"/>
            <w:tcBorders>
              <w:top w:val="single" w:sz="8" w:space="0" w:color="auto"/>
              <w:left w:val="single" w:sz="8" w:space="0" w:color="auto"/>
              <w:bottom w:val="single" w:sz="8" w:space="0" w:color="000000"/>
              <w:right w:val="single" w:sz="8" w:space="0" w:color="000000"/>
            </w:tcBorders>
            <w:vAlign w:val="center"/>
            <w:hideMark/>
          </w:tcPr>
          <w:p w:rsidR="00856D3A" w:rsidRPr="003A26C2" w:rsidRDefault="00856D3A" w:rsidP="00460727">
            <w:pPr>
              <w:rPr>
                <w:rFonts w:ascii="Calibri" w:eastAsia="Times New Roman" w:hAnsi="Calibri"/>
                <w:color w:val="000000"/>
                <w:sz w:val="25"/>
                <w:szCs w:val="25"/>
                <w:lang w:val="en-GB" w:eastAsia="en-GB"/>
              </w:rPr>
            </w:pPr>
            <w:r w:rsidRPr="003A26C2">
              <w:rPr>
                <w:rFonts w:ascii="Calibri" w:eastAsia="Times New Roman" w:hAnsi="Calibri"/>
                <w:color w:val="000000"/>
                <w:sz w:val="25"/>
                <w:szCs w:val="25"/>
                <w:lang w:val="en-GB" w:eastAsia="en-GB"/>
              </w:rPr>
              <w:t>16:30 – 18:00</w:t>
            </w:r>
          </w:p>
        </w:tc>
        <w:tc>
          <w:tcPr>
            <w:tcW w:w="7940" w:type="dxa"/>
            <w:tcBorders>
              <w:top w:val="nil"/>
              <w:left w:val="nil"/>
              <w:bottom w:val="single" w:sz="8" w:space="0" w:color="auto"/>
              <w:right w:val="single" w:sz="8" w:space="0" w:color="auto"/>
            </w:tcBorders>
            <w:shd w:val="clear" w:color="auto" w:fill="auto"/>
            <w:vAlign w:val="center"/>
            <w:hideMark/>
          </w:tcPr>
          <w:p w:rsidR="00856D3A" w:rsidRPr="003A26C2" w:rsidRDefault="00856D3A" w:rsidP="00460727">
            <w:pPr>
              <w:rPr>
                <w:rFonts w:ascii="Calibri" w:eastAsia="Times New Roman" w:hAnsi="Calibri"/>
                <w:b/>
                <w:bCs/>
                <w:color w:val="000000"/>
                <w:sz w:val="25"/>
                <w:szCs w:val="25"/>
                <w:lang w:val="en-GB" w:eastAsia="en-GB"/>
              </w:rPr>
            </w:pPr>
            <w:r w:rsidRPr="003A26C2">
              <w:rPr>
                <w:rFonts w:ascii="Calibri" w:eastAsia="Times New Roman" w:hAnsi="Calibri"/>
                <w:b/>
                <w:bCs/>
                <w:color w:val="000000"/>
                <w:sz w:val="25"/>
                <w:szCs w:val="25"/>
                <w:lang w:val="en-GB" w:eastAsia="en-GB"/>
              </w:rPr>
              <w:t>Wrap-up, closing remarks</w:t>
            </w:r>
          </w:p>
        </w:tc>
      </w:tr>
      <w:tr w:rsidR="00856D3A" w:rsidRPr="003A26C2" w:rsidTr="00460727">
        <w:trPr>
          <w:trHeight w:val="290"/>
        </w:trPr>
        <w:tc>
          <w:tcPr>
            <w:tcW w:w="1600" w:type="dxa"/>
            <w:vMerge/>
            <w:tcBorders>
              <w:top w:val="single" w:sz="8" w:space="0" w:color="auto"/>
              <w:left w:val="single" w:sz="8" w:space="0" w:color="auto"/>
              <w:bottom w:val="single" w:sz="8" w:space="0" w:color="000000"/>
              <w:right w:val="single" w:sz="8" w:space="0" w:color="000000"/>
            </w:tcBorders>
            <w:vAlign w:val="center"/>
          </w:tcPr>
          <w:p w:rsidR="00856D3A" w:rsidRPr="003A26C2" w:rsidRDefault="00856D3A" w:rsidP="00460727">
            <w:pPr>
              <w:rPr>
                <w:rFonts w:ascii="Calibri" w:eastAsia="Times New Roman" w:hAnsi="Calibri"/>
                <w:color w:val="000000"/>
                <w:sz w:val="25"/>
                <w:szCs w:val="25"/>
                <w:lang w:val="en-GB" w:eastAsia="en-GB"/>
              </w:rPr>
            </w:pPr>
          </w:p>
        </w:tc>
        <w:tc>
          <w:tcPr>
            <w:tcW w:w="7940" w:type="dxa"/>
            <w:tcBorders>
              <w:top w:val="nil"/>
              <w:left w:val="nil"/>
              <w:bottom w:val="single" w:sz="8" w:space="0" w:color="auto"/>
              <w:right w:val="single" w:sz="8" w:space="0" w:color="auto"/>
            </w:tcBorders>
            <w:shd w:val="clear" w:color="auto" w:fill="auto"/>
            <w:vAlign w:val="center"/>
          </w:tcPr>
          <w:p w:rsidR="00856D3A" w:rsidRPr="003A26C2" w:rsidRDefault="00856D3A" w:rsidP="00460727">
            <w:pPr>
              <w:rPr>
                <w:rFonts w:ascii="Calibri" w:eastAsia="Times New Roman" w:hAnsi="Calibri"/>
                <w:b/>
                <w:bCs/>
                <w:color w:val="000000"/>
                <w:sz w:val="25"/>
                <w:szCs w:val="25"/>
                <w:lang w:val="en-GB" w:eastAsia="en-GB"/>
              </w:rPr>
            </w:pPr>
          </w:p>
        </w:tc>
      </w:tr>
    </w:tbl>
    <w:p w:rsidR="005E4023" w:rsidRDefault="005E4023" w:rsidP="005E4023">
      <w:pPr>
        <w:jc w:val="both"/>
        <w:rPr>
          <w:rStyle w:val="Strong"/>
          <w:rFonts w:asciiTheme="minorHAnsi" w:hAnsiTheme="minorHAnsi" w:cs="Tahoma"/>
          <w:sz w:val="22"/>
          <w:szCs w:val="22"/>
        </w:rPr>
      </w:pPr>
    </w:p>
    <w:p w:rsidR="005E4023" w:rsidRDefault="00856D3A" w:rsidP="005E4023">
      <w:pPr>
        <w:jc w:val="both"/>
        <w:rPr>
          <w:rStyle w:val="Strong"/>
          <w:rFonts w:asciiTheme="minorHAnsi" w:hAnsiTheme="minorHAnsi" w:cs="Tahoma"/>
          <w:sz w:val="22"/>
          <w:szCs w:val="22"/>
        </w:rPr>
      </w:pPr>
      <w:r w:rsidRPr="00454BBB">
        <w:rPr>
          <w:rStyle w:val="Strong"/>
          <w:rFonts w:asciiTheme="minorHAnsi" w:hAnsiTheme="minorHAnsi" w:cs="Tahoma"/>
          <w:sz w:val="22"/>
          <w:szCs w:val="22"/>
        </w:rPr>
        <w:t xml:space="preserve">Relevant documents : </w:t>
      </w:r>
    </w:p>
    <w:p w:rsidR="005E4023" w:rsidRDefault="005E4023" w:rsidP="005E4023">
      <w:pPr>
        <w:jc w:val="both"/>
        <w:rPr>
          <w:rStyle w:val="Strong"/>
          <w:rFonts w:asciiTheme="minorHAnsi" w:hAnsiTheme="minorHAnsi" w:cs="Tahoma"/>
          <w:sz w:val="22"/>
          <w:szCs w:val="22"/>
        </w:rPr>
      </w:pPr>
    </w:p>
    <w:p w:rsidR="00856D3A" w:rsidRPr="005E4023" w:rsidRDefault="00856D3A" w:rsidP="005E4023">
      <w:pPr>
        <w:jc w:val="both"/>
        <w:rPr>
          <w:rStyle w:val="Strong"/>
          <w:rFonts w:asciiTheme="minorHAnsi" w:hAnsiTheme="minorHAnsi" w:cs="Tahoma"/>
          <w:sz w:val="22"/>
          <w:szCs w:val="22"/>
          <w:lang w:val="en-GB"/>
        </w:rPr>
      </w:pPr>
      <w:r>
        <w:rPr>
          <w:rStyle w:val="Strong"/>
          <w:rFonts w:asciiTheme="minorHAnsi" w:hAnsiTheme="minorHAnsi" w:cs="Tahoma"/>
          <w:sz w:val="22"/>
          <w:szCs w:val="22"/>
          <w:lang w:val="en-GB"/>
        </w:rPr>
        <w:t xml:space="preserve">People Over Profit, PSI Programme of Action 2018-2022: </w:t>
      </w:r>
      <w:hyperlink r:id="rId8" w:history="1">
        <w:r w:rsidRPr="00EE2282">
          <w:rPr>
            <w:rStyle w:val="Hyperlink"/>
            <w:rFonts w:asciiTheme="minorHAnsi" w:hAnsiTheme="minorHAnsi" w:cs="Tahoma"/>
            <w:sz w:val="22"/>
            <w:szCs w:val="22"/>
            <w:lang w:val="en-GB"/>
          </w:rPr>
          <w:t>http://congress.world-psi.org/wp-content/uploads/2017/08/EN-PoA-inc-amdmtsaddendum-final-Aug-2017-circ-8.pdf</w:t>
        </w:r>
      </w:hyperlink>
      <w:r>
        <w:rPr>
          <w:rStyle w:val="Strong"/>
          <w:rFonts w:asciiTheme="minorHAnsi" w:hAnsiTheme="minorHAnsi" w:cs="Tahoma"/>
          <w:sz w:val="22"/>
          <w:szCs w:val="22"/>
          <w:lang w:val="en-GB"/>
        </w:rPr>
        <w:t xml:space="preserve"> </w:t>
      </w:r>
    </w:p>
    <w:p w:rsidR="00856D3A" w:rsidRDefault="00856D3A" w:rsidP="005E4023">
      <w:pPr>
        <w:jc w:val="both"/>
        <w:rPr>
          <w:rStyle w:val="Hyperlink"/>
          <w:rFonts w:asciiTheme="minorHAnsi" w:hAnsiTheme="minorHAnsi" w:cs="Tahoma"/>
          <w:sz w:val="22"/>
          <w:szCs w:val="22"/>
          <w:lang w:val="en-GB"/>
        </w:rPr>
      </w:pPr>
      <w:r w:rsidRPr="001C11A1">
        <w:rPr>
          <w:rStyle w:val="Strong"/>
          <w:rFonts w:asciiTheme="minorHAnsi" w:hAnsiTheme="minorHAnsi" w:cs="Tahoma"/>
          <w:sz w:val="22"/>
          <w:szCs w:val="22"/>
          <w:lang w:val="en-GB"/>
        </w:rPr>
        <w:t xml:space="preserve">PSI Health </w:t>
      </w:r>
      <w:proofErr w:type="gramStart"/>
      <w:r w:rsidRPr="001C11A1">
        <w:rPr>
          <w:rStyle w:val="Strong"/>
          <w:rFonts w:asciiTheme="minorHAnsi" w:hAnsiTheme="minorHAnsi" w:cs="Tahoma"/>
          <w:sz w:val="22"/>
          <w:szCs w:val="22"/>
          <w:lang w:val="en-GB"/>
        </w:rPr>
        <w:t>Pages :</w:t>
      </w:r>
      <w:proofErr w:type="gramEnd"/>
      <w:r w:rsidRPr="001C11A1">
        <w:rPr>
          <w:rStyle w:val="Strong"/>
          <w:rFonts w:asciiTheme="minorHAnsi" w:hAnsiTheme="minorHAnsi" w:cs="Tahoma"/>
          <w:sz w:val="22"/>
          <w:szCs w:val="22"/>
          <w:lang w:val="en-GB"/>
        </w:rPr>
        <w:t xml:space="preserve"> </w:t>
      </w:r>
      <w:hyperlink r:id="rId9" w:history="1">
        <w:r w:rsidRPr="001C11A1">
          <w:rPr>
            <w:rStyle w:val="Hyperlink"/>
            <w:rFonts w:asciiTheme="minorHAnsi" w:hAnsiTheme="minorHAnsi" w:cs="Tahoma"/>
            <w:sz w:val="22"/>
            <w:szCs w:val="22"/>
            <w:lang w:val="en-GB"/>
          </w:rPr>
          <w:t>http://www.world-psi.org/en/issue/health-and-social-care-services</w:t>
        </w:r>
      </w:hyperlink>
    </w:p>
    <w:p w:rsidR="00856D3A" w:rsidRPr="00CE05CD" w:rsidRDefault="00856D3A" w:rsidP="00856D3A">
      <w:pPr>
        <w:spacing w:after="40"/>
        <w:jc w:val="both"/>
        <w:rPr>
          <w:rStyle w:val="Strong"/>
          <w:rFonts w:asciiTheme="minorHAnsi" w:hAnsiTheme="minorHAnsi" w:cs="Tahoma"/>
          <w:b w:val="0"/>
          <w:sz w:val="22"/>
          <w:szCs w:val="22"/>
          <w:lang w:val="en-GB"/>
        </w:rPr>
      </w:pPr>
      <w:r>
        <w:rPr>
          <w:rStyle w:val="Strong"/>
          <w:rFonts w:asciiTheme="minorHAnsi" w:hAnsiTheme="minorHAnsi" w:cs="Tahoma"/>
          <w:sz w:val="22"/>
          <w:szCs w:val="22"/>
          <w:lang w:val="en-GB"/>
        </w:rPr>
        <w:t xml:space="preserve">PSI Right to Health campaign page: </w:t>
      </w:r>
      <w:hyperlink r:id="rId10" w:history="1">
        <w:r w:rsidRPr="00EE2282">
          <w:rPr>
            <w:rStyle w:val="Hyperlink"/>
            <w:rFonts w:asciiTheme="minorHAnsi" w:hAnsiTheme="minorHAnsi" w:cs="Tahoma"/>
            <w:sz w:val="22"/>
            <w:szCs w:val="22"/>
            <w:lang w:val="en-GB"/>
          </w:rPr>
          <w:t>http://www.world-psi.org/en/right-health-campaign-better-future-publichealth4all</w:t>
        </w:r>
      </w:hyperlink>
      <w:r>
        <w:rPr>
          <w:rStyle w:val="Strong"/>
          <w:rFonts w:asciiTheme="minorHAnsi" w:hAnsiTheme="minorHAnsi" w:cs="Tahoma"/>
          <w:sz w:val="22"/>
          <w:szCs w:val="22"/>
          <w:lang w:val="en-GB"/>
        </w:rPr>
        <w:t xml:space="preserve"> </w:t>
      </w:r>
    </w:p>
    <w:p w:rsidR="00856D3A" w:rsidRDefault="00856D3A" w:rsidP="00856D3A">
      <w:pPr>
        <w:spacing w:after="40"/>
        <w:jc w:val="both"/>
        <w:rPr>
          <w:rStyle w:val="Strong"/>
          <w:rFonts w:asciiTheme="minorHAnsi" w:hAnsiTheme="minorHAnsi" w:cs="Tahoma"/>
          <w:sz w:val="22"/>
          <w:szCs w:val="22"/>
          <w:lang w:val="en-GB"/>
        </w:rPr>
      </w:pPr>
      <w:r w:rsidRPr="00CE05CD">
        <w:rPr>
          <w:rStyle w:val="Strong"/>
          <w:rFonts w:asciiTheme="minorHAnsi" w:hAnsiTheme="minorHAnsi" w:cs="Tahoma"/>
          <w:sz w:val="22"/>
          <w:szCs w:val="22"/>
          <w:lang w:val="en-GB"/>
        </w:rPr>
        <w:t xml:space="preserve">PSI </w:t>
      </w:r>
      <w:r w:rsidRPr="00CE05CD">
        <w:rPr>
          <w:rStyle w:val="Strong"/>
          <w:rFonts w:asciiTheme="minorHAnsi" w:hAnsiTheme="minorHAnsi" w:cs="Tahoma"/>
          <w:i/>
          <w:sz w:val="22"/>
          <w:szCs w:val="22"/>
          <w:lang w:val="en-GB"/>
        </w:rPr>
        <w:t xml:space="preserve">Right to Health </w:t>
      </w:r>
      <w:r w:rsidRPr="00CE05CD">
        <w:rPr>
          <w:rStyle w:val="Strong"/>
          <w:rFonts w:asciiTheme="minorHAnsi" w:hAnsiTheme="minorHAnsi" w:cs="Tahoma"/>
          <w:sz w:val="22"/>
          <w:szCs w:val="22"/>
          <w:lang w:val="en-GB"/>
        </w:rPr>
        <w:t>s</w:t>
      </w:r>
      <w:r>
        <w:rPr>
          <w:rStyle w:val="Strong"/>
          <w:rFonts w:asciiTheme="minorHAnsi" w:hAnsiTheme="minorHAnsi" w:cs="Tahoma"/>
          <w:sz w:val="22"/>
          <w:szCs w:val="22"/>
          <w:lang w:val="en-GB"/>
        </w:rPr>
        <w:t xml:space="preserve">ubscription page: </w:t>
      </w:r>
      <w:hyperlink r:id="rId11" w:history="1">
        <w:r w:rsidRPr="00EE2282">
          <w:rPr>
            <w:rStyle w:val="Hyperlink"/>
            <w:rFonts w:asciiTheme="minorHAnsi" w:hAnsiTheme="minorHAnsi" w:cs="Tahoma"/>
            <w:sz w:val="22"/>
            <w:szCs w:val="22"/>
            <w:lang w:val="en-GB"/>
          </w:rPr>
          <w:t>http://campaigns.world-psi.org/h/r/D3C8DE7AC9C4DE38</w:t>
        </w:r>
      </w:hyperlink>
      <w:r>
        <w:rPr>
          <w:rStyle w:val="Strong"/>
          <w:rFonts w:asciiTheme="minorHAnsi" w:hAnsiTheme="minorHAnsi" w:cs="Tahoma"/>
          <w:sz w:val="22"/>
          <w:szCs w:val="22"/>
          <w:lang w:val="en-GB"/>
        </w:rPr>
        <w:t xml:space="preserve"> </w:t>
      </w:r>
    </w:p>
    <w:p w:rsidR="00856D3A" w:rsidRPr="00CE05CD" w:rsidRDefault="00856D3A" w:rsidP="00856D3A">
      <w:pPr>
        <w:spacing w:after="40"/>
        <w:jc w:val="both"/>
        <w:rPr>
          <w:rStyle w:val="Strong"/>
          <w:rFonts w:asciiTheme="minorHAnsi" w:hAnsiTheme="minorHAnsi" w:cs="Tahoma"/>
          <w:sz w:val="22"/>
          <w:szCs w:val="22"/>
          <w:lang w:val="en-GB"/>
        </w:rPr>
      </w:pPr>
      <w:r w:rsidRPr="00CE05CD">
        <w:rPr>
          <w:rStyle w:val="Strong"/>
          <w:rFonts w:asciiTheme="minorHAnsi" w:hAnsiTheme="minorHAnsi" w:cs="Tahoma"/>
          <w:sz w:val="22"/>
          <w:szCs w:val="22"/>
          <w:lang w:val="en-GB"/>
        </w:rPr>
        <w:t xml:space="preserve">PSI </w:t>
      </w:r>
      <w:r w:rsidRPr="00CE05CD">
        <w:rPr>
          <w:rStyle w:val="Strong"/>
          <w:rFonts w:asciiTheme="minorHAnsi" w:hAnsiTheme="minorHAnsi" w:cs="Tahoma"/>
          <w:i/>
          <w:sz w:val="22"/>
          <w:szCs w:val="22"/>
          <w:lang w:val="en-GB"/>
        </w:rPr>
        <w:t xml:space="preserve">Right to Health </w:t>
      </w:r>
      <w:r w:rsidRPr="00CE05CD">
        <w:rPr>
          <w:rStyle w:val="Strong"/>
          <w:rFonts w:asciiTheme="minorHAnsi" w:hAnsiTheme="minorHAnsi" w:cs="Tahoma"/>
          <w:sz w:val="22"/>
          <w:szCs w:val="22"/>
          <w:lang w:val="en-GB"/>
        </w:rPr>
        <w:t>pas</w:t>
      </w:r>
      <w:r>
        <w:rPr>
          <w:rStyle w:val="Strong"/>
          <w:rFonts w:asciiTheme="minorHAnsi" w:hAnsiTheme="minorHAnsi" w:cs="Tahoma"/>
          <w:sz w:val="22"/>
          <w:szCs w:val="22"/>
          <w:lang w:val="en-GB"/>
        </w:rPr>
        <w:t xml:space="preserve">t issues: </w:t>
      </w:r>
      <w:hyperlink r:id="rId12" w:history="1">
        <w:r w:rsidRPr="00EE2282">
          <w:rPr>
            <w:rStyle w:val="Hyperlink"/>
            <w:rFonts w:asciiTheme="minorHAnsi" w:hAnsiTheme="minorHAnsi" w:cs="Tahoma"/>
            <w:sz w:val="22"/>
            <w:szCs w:val="22"/>
            <w:lang w:val="en-GB"/>
          </w:rPr>
          <w:t>http://www.world-psi.org/en/right-health-newsletter-all-issues</w:t>
        </w:r>
      </w:hyperlink>
      <w:r>
        <w:rPr>
          <w:rStyle w:val="Strong"/>
          <w:rFonts w:asciiTheme="minorHAnsi" w:hAnsiTheme="minorHAnsi" w:cs="Tahoma"/>
          <w:sz w:val="22"/>
          <w:szCs w:val="22"/>
          <w:lang w:val="en-GB"/>
        </w:rPr>
        <w:t xml:space="preserve"> </w:t>
      </w:r>
    </w:p>
    <w:p w:rsidR="00856D3A" w:rsidRPr="00E75797" w:rsidRDefault="00856D3A" w:rsidP="00856D3A">
      <w:pPr>
        <w:spacing w:after="40"/>
        <w:jc w:val="both"/>
        <w:rPr>
          <w:rStyle w:val="Strong"/>
          <w:rFonts w:asciiTheme="minorHAnsi" w:hAnsiTheme="minorHAnsi" w:cs="Tahoma"/>
          <w:sz w:val="22"/>
          <w:szCs w:val="22"/>
          <w:lang w:val="en-GB"/>
        </w:rPr>
      </w:pPr>
      <w:r w:rsidRPr="00E75797">
        <w:rPr>
          <w:rStyle w:val="Strong"/>
          <w:rFonts w:asciiTheme="minorHAnsi" w:hAnsiTheme="minorHAnsi" w:cs="Tahoma"/>
          <w:sz w:val="22"/>
          <w:szCs w:val="22"/>
          <w:lang w:val="en-GB"/>
        </w:rPr>
        <w:t xml:space="preserve">Double standards on PPPs: </w:t>
      </w:r>
      <w:hyperlink r:id="rId13" w:history="1">
        <w:r w:rsidRPr="00E75797">
          <w:rPr>
            <w:rStyle w:val="Hyperlink"/>
            <w:rFonts w:asciiTheme="minorHAnsi" w:hAnsiTheme="minorHAnsi" w:cs="Tahoma"/>
            <w:sz w:val="22"/>
            <w:szCs w:val="22"/>
            <w:lang w:val="en-GB"/>
          </w:rPr>
          <w:t>http://www.world-psi.org/en/double-standards-how-uk-promotes-rip-health-ppps-abroad</w:t>
        </w:r>
      </w:hyperlink>
      <w:r w:rsidRPr="00E75797">
        <w:rPr>
          <w:rStyle w:val="Strong"/>
          <w:rFonts w:asciiTheme="minorHAnsi" w:hAnsiTheme="minorHAnsi" w:cs="Tahoma"/>
          <w:sz w:val="22"/>
          <w:szCs w:val="22"/>
          <w:lang w:val="en-GB"/>
        </w:rPr>
        <w:t xml:space="preserve"> </w:t>
      </w:r>
    </w:p>
    <w:p w:rsidR="00856D3A" w:rsidRPr="00CE05CD" w:rsidRDefault="00856D3A" w:rsidP="00856D3A">
      <w:pPr>
        <w:spacing w:after="40"/>
        <w:jc w:val="both"/>
        <w:rPr>
          <w:rFonts w:asciiTheme="minorHAnsi" w:hAnsiTheme="minorHAnsi" w:cs="Tahoma"/>
          <w:b/>
          <w:bCs/>
          <w:sz w:val="22"/>
          <w:szCs w:val="22"/>
          <w:lang w:val="en-GB"/>
        </w:rPr>
      </w:pPr>
      <w:r w:rsidRPr="001C11A1">
        <w:rPr>
          <w:rStyle w:val="Strong"/>
          <w:rFonts w:asciiTheme="minorHAnsi" w:hAnsiTheme="minorHAnsi" w:cs="Tahoma"/>
          <w:sz w:val="22"/>
          <w:szCs w:val="22"/>
          <w:lang w:val="en-GB"/>
        </w:rPr>
        <w:t xml:space="preserve">PSI statement on World </w:t>
      </w:r>
      <w:r>
        <w:rPr>
          <w:rStyle w:val="Strong"/>
          <w:rFonts w:asciiTheme="minorHAnsi" w:hAnsiTheme="minorHAnsi" w:cs="Tahoma"/>
          <w:sz w:val="22"/>
          <w:szCs w:val="22"/>
          <w:lang w:val="en-GB"/>
        </w:rPr>
        <w:t>AIDS Day</w:t>
      </w:r>
      <w:r w:rsidRPr="001C11A1">
        <w:rPr>
          <w:rStyle w:val="Strong"/>
          <w:rFonts w:asciiTheme="minorHAnsi" w:hAnsiTheme="minorHAnsi" w:cs="Tahoma"/>
          <w:sz w:val="22"/>
          <w:szCs w:val="22"/>
          <w:lang w:val="en-GB"/>
        </w:rPr>
        <w:t xml:space="preserve">: </w:t>
      </w:r>
      <w:hyperlink r:id="rId14" w:history="1">
        <w:r w:rsidRPr="00EE2282">
          <w:rPr>
            <w:rStyle w:val="Hyperlink"/>
            <w:lang w:val="en-GB"/>
          </w:rPr>
          <w:t>http://www.world-psi.org/en/right-health-central-kicking-out-hivaids</w:t>
        </w:r>
      </w:hyperlink>
      <w:r>
        <w:rPr>
          <w:lang w:val="en-GB"/>
        </w:rPr>
        <w:t xml:space="preserve"> </w:t>
      </w:r>
    </w:p>
    <w:p w:rsidR="00856D3A" w:rsidRDefault="00856D3A" w:rsidP="00856D3A">
      <w:pPr>
        <w:tabs>
          <w:tab w:val="left" w:pos="3677"/>
        </w:tabs>
        <w:spacing w:after="40"/>
        <w:rPr>
          <w:rFonts w:asciiTheme="minorHAnsi" w:hAnsiTheme="minorHAnsi" w:cs="Tahoma"/>
          <w:b/>
          <w:sz w:val="22"/>
          <w:szCs w:val="22"/>
          <w:lang w:val="en-GB"/>
        </w:rPr>
      </w:pPr>
      <w:r>
        <w:rPr>
          <w:rFonts w:asciiTheme="minorHAnsi" w:hAnsiTheme="minorHAnsi" w:cs="Tahoma"/>
          <w:b/>
          <w:sz w:val="22"/>
          <w:szCs w:val="22"/>
          <w:lang w:val="en-GB"/>
        </w:rPr>
        <w:t xml:space="preserve">“Working for Health” Five-year Action Plan for Health Employment and Inclusive Growth (2017-2021): </w:t>
      </w:r>
      <w:hyperlink r:id="rId15" w:history="1">
        <w:r w:rsidRPr="00EE2282">
          <w:rPr>
            <w:rStyle w:val="Hyperlink"/>
            <w:rFonts w:asciiTheme="minorHAnsi" w:hAnsiTheme="minorHAnsi" w:cs="Tahoma"/>
            <w:sz w:val="22"/>
            <w:szCs w:val="22"/>
            <w:lang w:val="en-GB"/>
          </w:rPr>
          <w:t>http://apps.who.int/gb/ebwha/pdf_files/WHA70/A70_18-en.pdf?ua=1</w:t>
        </w:r>
      </w:hyperlink>
      <w:r>
        <w:rPr>
          <w:rFonts w:asciiTheme="minorHAnsi" w:hAnsiTheme="minorHAnsi" w:cs="Tahoma"/>
          <w:b/>
          <w:sz w:val="22"/>
          <w:szCs w:val="22"/>
          <w:lang w:val="en-GB"/>
        </w:rPr>
        <w:t xml:space="preserve"> </w:t>
      </w:r>
    </w:p>
    <w:p w:rsidR="00856D3A" w:rsidRPr="00CE05CD" w:rsidRDefault="00856D3A" w:rsidP="00856D3A">
      <w:pPr>
        <w:tabs>
          <w:tab w:val="left" w:pos="3677"/>
        </w:tabs>
        <w:spacing w:after="40"/>
        <w:rPr>
          <w:rFonts w:asciiTheme="minorHAnsi" w:hAnsiTheme="minorHAnsi" w:cs="Tahoma"/>
          <w:b/>
          <w:sz w:val="22"/>
          <w:szCs w:val="22"/>
          <w:lang w:val="en-GB"/>
        </w:rPr>
      </w:pPr>
      <w:r>
        <w:rPr>
          <w:rFonts w:asciiTheme="minorHAnsi" w:hAnsiTheme="minorHAnsi" w:cs="Tahoma"/>
          <w:b/>
          <w:sz w:val="22"/>
          <w:szCs w:val="22"/>
          <w:lang w:val="en-GB"/>
        </w:rPr>
        <w:t xml:space="preserve">Global strategy on human resources for health: Workforce 2030: </w:t>
      </w:r>
      <w:hyperlink r:id="rId16" w:history="1">
        <w:r w:rsidRPr="00EE2282">
          <w:rPr>
            <w:rStyle w:val="Hyperlink"/>
            <w:rFonts w:asciiTheme="minorHAnsi" w:hAnsiTheme="minorHAnsi" w:cs="Tahoma"/>
            <w:sz w:val="22"/>
            <w:szCs w:val="22"/>
            <w:lang w:val="en-GB"/>
          </w:rPr>
          <w:t>http://who.int/hrh/resources/global_strategy_workforce2030_14_print.pdf?ua=1</w:t>
        </w:r>
      </w:hyperlink>
      <w:r>
        <w:rPr>
          <w:rFonts w:asciiTheme="minorHAnsi" w:hAnsiTheme="minorHAnsi" w:cs="Tahoma"/>
          <w:b/>
          <w:sz w:val="22"/>
          <w:szCs w:val="22"/>
          <w:lang w:val="en-GB"/>
        </w:rPr>
        <w:t xml:space="preserve"> </w:t>
      </w:r>
    </w:p>
    <w:p w:rsidR="00856D3A" w:rsidRDefault="00856D3A" w:rsidP="00856D3A">
      <w:pPr>
        <w:tabs>
          <w:tab w:val="left" w:pos="3677"/>
        </w:tabs>
        <w:spacing w:after="40"/>
        <w:rPr>
          <w:rFonts w:asciiTheme="minorHAnsi" w:hAnsiTheme="minorHAnsi" w:cs="Tahoma"/>
          <w:b/>
          <w:sz w:val="22"/>
          <w:szCs w:val="22"/>
          <w:u w:val="single"/>
          <w:lang w:val="en-GB"/>
        </w:rPr>
      </w:pPr>
      <w:r w:rsidRPr="004569C4">
        <w:rPr>
          <w:rFonts w:asciiTheme="minorHAnsi" w:hAnsiTheme="minorHAnsi" w:cs="Tahoma"/>
          <w:b/>
          <w:sz w:val="22"/>
          <w:szCs w:val="22"/>
          <w:lang w:val="en-GB"/>
        </w:rPr>
        <w:t xml:space="preserve">Dublin Declaration on Human Resources for Health: Building the Health Workforce of the Future: </w:t>
      </w:r>
      <w:hyperlink r:id="rId17" w:history="1">
        <w:r w:rsidRPr="00EE2282">
          <w:rPr>
            <w:rStyle w:val="Hyperlink"/>
            <w:rFonts w:asciiTheme="minorHAnsi" w:hAnsiTheme="minorHAnsi" w:cs="Tahoma"/>
            <w:sz w:val="22"/>
            <w:szCs w:val="22"/>
            <w:lang w:val="en-GB"/>
          </w:rPr>
          <w:t>http://www.who.int/hrh/events/Dublin_Declaration-on-HumanResources-for-Health.pdf</w:t>
        </w:r>
      </w:hyperlink>
      <w:r>
        <w:rPr>
          <w:rFonts w:asciiTheme="minorHAnsi" w:hAnsiTheme="minorHAnsi" w:cs="Tahoma"/>
          <w:b/>
          <w:sz w:val="22"/>
          <w:szCs w:val="22"/>
          <w:u w:val="single"/>
          <w:lang w:val="en-GB"/>
        </w:rPr>
        <w:t xml:space="preserve"> </w:t>
      </w:r>
    </w:p>
    <w:p w:rsidR="00856D3A" w:rsidRPr="004569C4" w:rsidRDefault="00856D3A" w:rsidP="00856D3A">
      <w:pPr>
        <w:tabs>
          <w:tab w:val="left" w:pos="3677"/>
        </w:tabs>
        <w:spacing w:after="40"/>
        <w:rPr>
          <w:rFonts w:asciiTheme="minorHAnsi" w:hAnsiTheme="minorHAnsi" w:cs="Tahoma"/>
          <w:b/>
          <w:sz w:val="22"/>
          <w:szCs w:val="22"/>
          <w:lang w:val="en-GB"/>
        </w:rPr>
      </w:pPr>
      <w:r>
        <w:rPr>
          <w:rFonts w:asciiTheme="minorHAnsi" w:hAnsiTheme="minorHAnsi" w:cs="Tahoma"/>
          <w:b/>
          <w:sz w:val="22"/>
          <w:szCs w:val="22"/>
          <w:lang w:val="en-GB"/>
        </w:rPr>
        <w:t xml:space="preserve">Report from EPSU Standing Committee Health and Social Services: </w:t>
      </w:r>
      <w:hyperlink r:id="rId18" w:history="1">
        <w:r w:rsidRPr="00EE2282">
          <w:rPr>
            <w:rStyle w:val="Hyperlink"/>
            <w:rFonts w:asciiTheme="minorHAnsi" w:hAnsiTheme="minorHAnsi" w:cs="Tahoma"/>
            <w:sz w:val="22"/>
            <w:szCs w:val="22"/>
            <w:lang w:val="en-GB"/>
          </w:rPr>
          <w:t>http://www.epsu.org/article/report-standing-committee-health-and-social-services</w:t>
        </w:r>
      </w:hyperlink>
      <w:r>
        <w:rPr>
          <w:rFonts w:asciiTheme="minorHAnsi" w:hAnsiTheme="minorHAnsi" w:cs="Tahoma"/>
          <w:b/>
          <w:sz w:val="22"/>
          <w:szCs w:val="22"/>
          <w:lang w:val="en-GB"/>
        </w:rPr>
        <w:t xml:space="preserve"> </w:t>
      </w:r>
    </w:p>
    <w:p w:rsidR="00575A89" w:rsidRPr="005E4023" w:rsidRDefault="00856D3A" w:rsidP="005E4023">
      <w:pPr>
        <w:pStyle w:val="graf--p"/>
        <w:spacing w:before="0" w:beforeAutospacing="0" w:after="40" w:afterAutospacing="0"/>
        <w:jc w:val="both"/>
        <w:rPr>
          <w:rFonts w:asciiTheme="minorHAnsi" w:hAnsiTheme="minorHAnsi" w:cs="Tahoma"/>
          <w:sz w:val="22"/>
          <w:szCs w:val="22"/>
        </w:rPr>
      </w:pPr>
      <w:r w:rsidRPr="00454BBB">
        <w:rPr>
          <w:rFonts w:asciiTheme="minorHAnsi" w:hAnsiTheme="minorHAnsi" w:cs="Tahoma"/>
          <w:b/>
          <w:sz w:val="22"/>
          <w:szCs w:val="22"/>
        </w:rPr>
        <w:t>Call to Action Liberia</w:t>
      </w:r>
      <w:r w:rsidRPr="00454BBB">
        <w:rPr>
          <w:rFonts w:asciiTheme="minorHAnsi" w:hAnsiTheme="minorHAnsi" w:cs="Tahoma"/>
          <w:sz w:val="22"/>
          <w:szCs w:val="22"/>
        </w:rPr>
        <w:t xml:space="preserve">: </w:t>
      </w:r>
      <w:r w:rsidRPr="005E4023">
        <w:rPr>
          <w:rFonts w:asciiTheme="minorHAnsi" w:hAnsiTheme="minorHAnsi" w:cs="Tahoma"/>
          <w:sz w:val="22"/>
          <w:szCs w:val="22"/>
        </w:rPr>
        <w:t>http://www.world-psi.org/en/respect-right-organise-reinstate-liberian-trade-union-leaders-now</w:t>
      </w:r>
    </w:p>
    <w:sectPr w:rsidR="00575A89" w:rsidRPr="005E4023" w:rsidSect="00643CC2">
      <w:headerReference w:type="default" r:id="rId19"/>
      <w:footerReference w:type="default" r:id="rId20"/>
      <w:headerReference w:type="first" r:id="rId21"/>
      <w:footerReference w:type="first" r:id="rId22"/>
      <w:pgSz w:w="11900" w:h="16840" w:code="9"/>
      <w:pgMar w:top="1134" w:right="1134" w:bottom="1134" w:left="1134" w:header="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FB3" w:rsidRDefault="005B3FB3">
      <w:r>
        <w:separator/>
      </w:r>
    </w:p>
  </w:endnote>
  <w:endnote w:type="continuationSeparator" w:id="0">
    <w:p w:rsidR="005B3FB3" w:rsidRDefault="005B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charset w:val="00"/>
    <w:family w:val="auto"/>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27516"/>
      <w:docPartObj>
        <w:docPartGallery w:val="Page Numbers (Bottom of Page)"/>
        <w:docPartUnique/>
      </w:docPartObj>
    </w:sdtPr>
    <w:sdtEndPr>
      <w:rPr>
        <w:noProof/>
      </w:rPr>
    </w:sdtEndPr>
    <w:sdtContent>
      <w:p w:rsidR="003F4D77" w:rsidRDefault="003F4D77">
        <w:pPr>
          <w:pStyle w:val="Footer"/>
          <w:jc w:val="center"/>
        </w:pPr>
        <w:r>
          <w:fldChar w:fldCharType="begin"/>
        </w:r>
        <w:r>
          <w:instrText xml:space="preserve"> PAGE   \* MERGEFORMAT </w:instrText>
        </w:r>
        <w:r>
          <w:fldChar w:fldCharType="separate"/>
        </w:r>
        <w:r w:rsidR="00594579">
          <w:rPr>
            <w:noProof/>
          </w:rPr>
          <w:t>2</w:t>
        </w:r>
        <w:r>
          <w:rPr>
            <w:noProof/>
          </w:rPr>
          <w:fldChar w:fldCharType="end"/>
        </w:r>
      </w:p>
    </w:sdtContent>
  </w:sdt>
  <w:p w:rsidR="00E502C5" w:rsidRDefault="00E502C5" w:rsidP="00383762">
    <w:pPr>
      <w:pStyle w:val="Footer"/>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C5" w:rsidRPr="001646DA" w:rsidRDefault="00413655" w:rsidP="001646DA">
    <w:pPr>
      <w:pStyle w:val="Textebottom"/>
      <w:pBdr>
        <w:top w:val="single" w:sz="4" w:space="1" w:color="FF0000"/>
        <w:left w:val="single" w:sz="4" w:space="4" w:color="FF0000"/>
        <w:bottom w:val="single" w:sz="4" w:space="1" w:color="FF0000"/>
        <w:right w:val="single" w:sz="4" w:space="4" w:color="FF0000"/>
      </w:pBdr>
      <w:spacing w:line="240" w:lineRule="auto"/>
      <w:ind w:left="113" w:right="113"/>
      <w:rPr>
        <w:rFonts w:ascii="Arial" w:hAnsi="Arial" w:cs="Arial"/>
        <w:color w:val="FF0000"/>
        <w:spacing w:val="0"/>
      </w:rPr>
    </w:pPr>
    <w:r w:rsidRPr="001646DA">
      <w:rPr>
        <w:rFonts w:ascii="Arial" w:hAnsi="Arial" w:cs="Arial"/>
        <w:color w:val="FF0000"/>
        <w:spacing w:val="0"/>
      </w:rPr>
      <w:t>Public Services International is a global trade union federation representing 20 million working women and men who deliver vital public services in 150 countries. PSI champions human rights, advocates for social justice and promotes universal access to quality public services. PSI works with the United Nations system and in partnership with labour, civil society and other organisations.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FB3" w:rsidRDefault="005B3FB3">
      <w:r>
        <w:separator/>
      </w:r>
    </w:p>
  </w:footnote>
  <w:footnote w:type="continuationSeparator" w:id="0">
    <w:p w:rsidR="005B3FB3" w:rsidRDefault="005B3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C5" w:rsidRDefault="00E502C5" w:rsidP="00383762">
    <w:pPr>
      <w:pStyle w:val="Header"/>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C5" w:rsidRDefault="000D2F45">
    <w:pPr>
      <w:pStyle w:val="Header"/>
    </w:pPr>
    <w:r>
      <w:rPr>
        <w:noProof/>
        <w:lang w:val="en-GB" w:eastAsia="en-GB"/>
      </w:rPr>
      <w:drawing>
        <wp:anchor distT="0" distB="0" distL="114300" distR="114300" simplePos="0" relativeHeight="251657216" behindDoc="0" locked="0" layoutInCell="1" allowOverlap="1">
          <wp:simplePos x="0" y="0"/>
          <wp:positionH relativeFrom="page">
            <wp:posOffset>0</wp:posOffset>
          </wp:positionH>
          <wp:positionV relativeFrom="page">
            <wp:posOffset>8890</wp:posOffset>
          </wp:positionV>
          <wp:extent cx="7543165" cy="1669415"/>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etterhead_top.jpg"/>
                  <pic:cNvPicPr/>
                </pic:nvPicPr>
                <pic:blipFill rotWithShape="1">
                  <a:blip r:embed="rId1"/>
                  <a:srcRect t="6905"/>
                  <a:stretch/>
                </pic:blipFill>
                <pic:spPr bwMode="auto">
                  <a:xfrm>
                    <a:off x="0" y="0"/>
                    <a:ext cx="7543165" cy="16694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346"/>
    <w:multiLevelType w:val="hybridMultilevel"/>
    <w:tmpl w:val="18ACFA70"/>
    <w:lvl w:ilvl="0" w:tplc="A9C8E48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A296A"/>
    <w:multiLevelType w:val="hybridMultilevel"/>
    <w:tmpl w:val="AEC07220"/>
    <w:lvl w:ilvl="0" w:tplc="04B03104">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6B"/>
    <w:rsid w:val="000050D4"/>
    <w:rsid w:val="0001569B"/>
    <w:rsid w:val="000217D8"/>
    <w:rsid w:val="00041690"/>
    <w:rsid w:val="0004654A"/>
    <w:rsid w:val="00086BB8"/>
    <w:rsid w:val="000B0486"/>
    <w:rsid w:val="000C5665"/>
    <w:rsid w:val="000D2F45"/>
    <w:rsid w:val="000F423C"/>
    <w:rsid w:val="00130C34"/>
    <w:rsid w:val="00156303"/>
    <w:rsid w:val="001646DA"/>
    <w:rsid w:val="0017246A"/>
    <w:rsid w:val="001A0F12"/>
    <w:rsid w:val="001A37D3"/>
    <w:rsid w:val="001A5A31"/>
    <w:rsid w:val="001A7717"/>
    <w:rsid w:val="001B1BA9"/>
    <w:rsid w:val="001D5767"/>
    <w:rsid w:val="00203AAB"/>
    <w:rsid w:val="002063FB"/>
    <w:rsid w:val="002316D4"/>
    <w:rsid w:val="00242F78"/>
    <w:rsid w:val="002545AC"/>
    <w:rsid w:val="002672E7"/>
    <w:rsid w:val="002B0467"/>
    <w:rsid w:val="00306A58"/>
    <w:rsid w:val="003358A2"/>
    <w:rsid w:val="00351296"/>
    <w:rsid w:val="003636D1"/>
    <w:rsid w:val="00383762"/>
    <w:rsid w:val="00387518"/>
    <w:rsid w:val="00396005"/>
    <w:rsid w:val="00397E85"/>
    <w:rsid w:val="003B36D3"/>
    <w:rsid w:val="003E5140"/>
    <w:rsid w:val="003F30D1"/>
    <w:rsid w:val="003F4D77"/>
    <w:rsid w:val="003F62D4"/>
    <w:rsid w:val="004056B9"/>
    <w:rsid w:val="00410317"/>
    <w:rsid w:val="00413655"/>
    <w:rsid w:val="004316AA"/>
    <w:rsid w:val="004527EF"/>
    <w:rsid w:val="00454EB9"/>
    <w:rsid w:val="00463117"/>
    <w:rsid w:val="00465C5A"/>
    <w:rsid w:val="004808ED"/>
    <w:rsid w:val="004818F3"/>
    <w:rsid w:val="004F6D6B"/>
    <w:rsid w:val="005046DA"/>
    <w:rsid w:val="005431A9"/>
    <w:rsid w:val="00566A1C"/>
    <w:rsid w:val="0056764F"/>
    <w:rsid w:val="00575A89"/>
    <w:rsid w:val="00594579"/>
    <w:rsid w:val="005B3FB3"/>
    <w:rsid w:val="005E0587"/>
    <w:rsid w:val="005E4023"/>
    <w:rsid w:val="005E76CB"/>
    <w:rsid w:val="005E78F1"/>
    <w:rsid w:val="00643CC2"/>
    <w:rsid w:val="006776DD"/>
    <w:rsid w:val="00696B74"/>
    <w:rsid w:val="006C6D72"/>
    <w:rsid w:val="006F5599"/>
    <w:rsid w:val="006F563C"/>
    <w:rsid w:val="00701BDE"/>
    <w:rsid w:val="00707183"/>
    <w:rsid w:val="007111C9"/>
    <w:rsid w:val="00716A8A"/>
    <w:rsid w:val="00742307"/>
    <w:rsid w:val="00793583"/>
    <w:rsid w:val="007B463E"/>
    <w:rsid w:val="008071F2"/>
    <w:rsid w:val="00835791"/>
    <w:rsid w:val="00843A62"/>
    <w:rsid w:val="00853E3D"/>
    <w:rsid w:val="00856D3A"/>
    <w:rsid w:val="008851BC"/>
    <w:rsid w:val="0088561E"/>
    <w:rsid w:val="008D566E"/>
    <w:rsid w:val="008E4A38"/>
    <w:rsid w:val="008E5050"/>
    <w:rsid w:val="00921055"/>
    <w:rsid w:val="00935CE3"/>
    <w:rsid w:val="009644B1"/>
    <w:rsid w:val="009701FD"/>
    <w:rsid w:val="00976822"/>
    <w:rsid w:val="009A2AAE"/>
    <w:rsid w:val="009A4268"/>
    <w:rsid w:val="009B3458"/>
    <w:rsid w:val="009D1722"/>
    <w:rsid w:val="009E6100"/>
    <w:rsid w:val="009F2268"/>
    <w:rsid w:val="009F4F3C"/>
    <w:rsid w:val="00A022C0"/>
    <w:rsid w:val="00A07B71"/>
    <w:rsid w:val="00A33BEE"/>
    <w:rsid w:val="00A50641"/>
    <w:rsid w:val="00AA5F89"/>
    <w:rsid w:val="00AC023D"/>
    <w:rsid w:val="00AC0E27"/>
    <w:rsid w:val="00B47EB7"/>
    <w:rsid w:val="00B53C9E"/>
    <w:rsid w:val="00B53E0B"/>
    <w:rsid w:val="00B63E98"/>
    <w:rsid w:val="00B75C6D"/>
    <w:rsid w:val="00B84C86"/>
    <w:rsid w:val="00BF1231"/>
    <w:rsid w:val="00BF40DE"/>
    <w:rsid w:val="00C41FD7"/>
    <w:rsid w:val="00C5644C"/>
    <w:rsid w:val="00C6648B"/>
    <w:rsid w:val="00C7510E"/>
    <w:rsid w:val="00C96844"/>
    <w:rsid w:val="00CA4ACF"/>
    <w:rsid w:val="00CF0FF2"/>
    <w:rsid w:val="00D044D8"/>
    <w:rsid w:val="00DB2AB1"/>
    <w:rsid w:val="00DB4827"/>
    <w:rsid w:val="00DD4F87"/>
    <w:rsid w:val="00E07F36"/>
    <w:rsid w:val="00E235EA"/>
    <w:rsid w:val="00E32329"/>
    <w:rsid w:val="00E502C5"/>
    <w:rsid w:val="00E63CCA"/>
    <w:rsid w:val="00E643BD"/>
    <w:rsid w:val="00E9648C"/>
    <w:rsid w:val="00EA5346"/>
    <w:rsid w:val="00EC5A96"/>
    <w:rsid w:val="00F00EF5"/>
    <w:rsid w:val="00F13DB7"/>
    <w:rsid w:val="00F309AE"/>
    <w:rsid w:val="00F365CB"/>
    <w:rsid w:val="00F53E35"/>
    <w:rsid w:val="00F649A7"/>
    <w:rsid w:val="00F67462"/>
    <w:rsid w:val="00F95F4F"/>
    <w:rsid w:val="00FB7640"/>
    <w:rsid w:val="00FF0B91"/>
    <w:rsid w:val="00FF65C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680F54"/>
  <w15:docId w15:val="{E30C0671-19C4-41F6-B98E-5DC35E9D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D3A"/>
    <w:rPr>
      <w:sz w:val="24"/>
      <w:szCs w:val="24"/>
      <w:lang w:val="fr-FR" w:eastAsia="en-US"/>
    </w:rPr>
  </w:style>
  <w:style w:type="paragraph" w:styleId="Heading1">
    <w:name w:val="heading 1"/>
    <w:basedOn w:val="Normal"/>
    <w:next w:val="Normal"/>
    <w:link w:val="Heading1Char"/>
    <w:uiPriority w:val="9"/>
    <w:qFormat/>
    <w:rsid w:val="00410317"/>
    <w:pPr>
      <w:keepNext/>
      <w:spacing w:line="276" w:lineRule="auto"/>
      <w:jc w:val="both"/>
      <w:outlineLvl w:val="0"/>
    </w:pPr>
    <w:rPr>
      <w:rFonts w:ascii="Times New Roman" w:eastAsiaTheme="minorEastAsia" w:hAnsi="Times New Roman"/>
      <w:b/>
      <w:sz w:val="25"/>
      <w:szCs w:val="25"/>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9E"/>
    <w:pPr>
      <w:tabs>
        <w:tab w:val="center" w:pos="4536"/>
        <w:tab w:val="right" w:pos="9072"/>
      </w:tabs>
    </w:pPr>
  </w:style>
  <w:style w:type="character" w:customStyle="1" w:styleId="HeaderChar">
    <w:name w:val="Header Char"/>
    <w:basedOn w:val="DefaultParagraphFont"/>
    <w:link w:val="Header"/>
    <w:uiPriority w:val="99"/>
    <w:rsid w:val="00B53C9E"/>
  </w:style>
  <w:style w:type="paragraph" w:styleId="Footer">
    <w:name w:val="footer"/>
    <w:basedOn w:val="Normal"/>
    <w:link w:val="FooterChar"/>
    <w:uiPriority w:val="99"/>
    <w:unhideWhenUsed/>
    <w:rsid w:val="00B53C9E"/>
    <w:pPr>
      <w:tabs>
        <w:tab w:val="center" w:pos="4536"/>
        <w:tab w:val="right" w:pos="9072"/>
      </w:tabs>
    </w:pPr>
  </w:style>
  <w:style w:type="character" w:customStyle="1" w:styleId="FooterChar">
    <w:name w:val="Footer Char"/>
    <w:basedOn w:val="DefaultParagraphFont"/>
    <w:link w:val="Footer"/>
    <w:uiPriority w:val="99"/>
    <w:rsid w:val="00B53C9E"/>
  </w:style>
  <w:style w:type="paragraph" w:customStyle="1" w:styleId="Paragraphestandard">
    <w:name w:val="[Paragraphe standard]"/>
    <w:basedOn w:val="Normal"/>
    <w:uiPriority w:val="99"/>
    <w:rsid w:val="00970D0A"/>
    <w:pPr>
      <w:widowControl w:val="0"/>
      <w:autoSpaceDE w:val="0"/>
      <w:autoSpaceDN w:val="0"/>
      <w:adjustRightInd w:val="0"/>
      <w:spacing w:line="288" w:lineRule="auto"/>
      <w:textAlignment w:val="center"/>
    </w:pPr>
    <w:rPr>
      <w:rFonts w:ascii="Geneva" w:hAnsi="Geneva" w:cs="Geneva"/>
      <w:color w:val="000000"/>
    </w:rPr>
  </w:style>
  <w:style w:type="paragraph" w:customStyle="1" w:styleId="BasicParagraph">
    <w:name w:val="[Basic Paragraph]"/>
    <w:basedOn w:val="Normal"/>
    <w:uiPriority w:val="99"/>
    <w:rsid w:val="00E9648C"/>
    <w:pPr>
      <w:autoSpaceDE w:val="0"/>
      <w:autoSpaceDN w:val="0"/>
      <w:adjustRightInd w:val="0"/>
      <w:spacing w:line="288" w:lineRule="auto"/>
      <w:textAlignment w:val="center"/>
    </w:pPr>
    <w:rPr>
      <w:rFonts w:ascii="Times New Roman" w:hAnsi="Times New Roman"/>
      <w:color w:val="000000"/>
      <w:lang w:val="en-GB" w:eastAsia="ja-JP"/>
    </w:rPr>
  </w:style>
  <w:style w:type="paragraph" w:customStyle="1" w:styleId="Textebottom">
    <w:name w:val="Texte bottom"/>
    <w:basedOn w:val="Normal"/>
    <w:uiPriority w:val="99"/>
    <w:rsid w:val="00413655"/>
    <w:pPr>
      <w:suppressAutoHyphens/>
      <w:autoSpaceDE w:val="0"/>
      <w:autoSpaceDN w:val="0"/>
      <w:adjustRightInd w:val="0"/>
      <w:spacing w:line="288" w:lineRule="auto"/>
      <w:jc w:val="both"/>
      <w:textAlignment w:val="center"/>
    </w:pPr>
    <w:rPr>
      <w:rFonts w:ascii="Helvetica 55 Roman" w:eastAsia="MS Mincho" w:hAnsi="Helvetica 55 Roman" w:cs="Helvetica 55 Roman"/>
      <w:color w:val="439D99"/>
      <w:spacing w:val="2"/>
      <w:sz w:val="16"/>
      <w:szCs w:val="16"/>
      <w:lang w:val="en-GB" w:eastAsia="ja-JP"/>
    </w:rPr>
  </w:style>
  <w:style w:type="paragraph" w:styleId="BalloonText">
    <w:name w:val="Balloon Text"/>
    <w:basedOn w:val="Normal"/>
    <w:link w:val="BalloonTextChar"/>
    <w:uiPriority w:val="99"/>
    <w:semiHidden/>
    <w:unhideWhenUsed/>
    <w:rsid w:val="00DB4827"/>
    <w:rPr>
      <w:rFonts w:ascii="Tahoma" w:hAnsi="Tahoma" w:cs="Tahoma"/>
      <w:sz w:val="16"/>
      <w:szCs w:val="16"/>
    </w:rPr>
  </w:style>
  <w:style w:type="character" w:customStyle="1" w:styleId="BalloonTextChar">
    <w:name w:val="Balloon Text Char"/>
    <w:basedOn w:val="DefaultParagraphFont"/>
    <w:link w:val="BalloonText"/>
    <w:uiPriority w:val="99"/>
    <w:semiHidden/>
    <w:rsid w:val="00DB4827"/>
    <w:rPr>
      <w:rFonts w:ascii="Tahoma" w:hAnsi="Tahoma" w:cs="Tahoma"/>
      <w:sz w:val="16"/>
      <w:szCs w:val="16"/>
      <w:lang w:val="fr-FR" w:eastAsia="en-US"/>
    </w:rPr>
  </w:style>
  <w:style w:type="paragraph" w:styleId="BodyText2">
    <w:name w:val="Body Text 2"/>
    <w:basedOn w:val="Normal"/>
    <w:link w:val="BodyText2Char"/>
    <w:semiHidden/>
    <w:rsid w:val="00F53E35"/>
    <w:pPr>
      <w:tabs>
        <w:tab w:val="right" w:pos="1134"/>
        <w:tab w:val="left" w:pos="1418"/>
      </w:tabs>
      <w:jc w:val="both"/>
    </w:pPr>
    <w:rPr>
      <w:rFonts w:ascii="Arial" w:eastAsia="MS Mincho" w:hAnsi="Arial"/>
      <w:sz w:val="22"/>
      <w:lang w:val="en-GB" w:eastAsia="ja-JP"/>
    </w:rPr>
  </w:style>
  <w:style w:type="character" w:customStyle="1" w:styleId="BodyText2Char">
    <w:name w:val="Body Text 2 Char"/>
    <w:basedOn w:val="DefaultParagraphFont"/>
    <w:link w:val="BodyText2"/>
    <w:semiHidden/>
    <w:rsid w:val="00F53E35"/>
    <w:rPr>
      <w:rFonts w:ascii="Arial" w:eastAsia="MS Mincho" w:hAnsi="Arial"/>
      <w:sz w:val="22"/>
      <w:szCs w:val="24"/>
    </w:rPr>
  </w:style>
  <w:style w:type="character" w:styleId="Hyperlink">
    <w:name w:val="Hyperlink"/>
    <w:uiPriority w:val="99"/>
    <w:unhideWhenUsed/>
    <w:rsid w:val="00F53E35"/>
    <w:rPr>
      <w:color w:val="0000FF"/>
      <w:u w:val="single"/>
    </w:rPr>
  </w:style>
  <w:style w:type="character" w:styleId="Strong">
    <w:name w:val="Strong"/>
    <w:uiPriority w:val="22"/>
    <w:qFormat/>
    <w:rsid w:val="00F53E35"/>
    <w:rPr>
      <w:b/>
      <w:bCs/>
    </w:rPr>
  </w:style>
  <w:style w:type="paragraph" w:styleId="ListParagraph">
    <w:name w:val="List Paragraph"/>
    <w:basedOn w:val="Normal"/>
    <w:uiPriority w:val="34"/>
    <w:qFormat/>
    <w:rsid w:val="00F53E35"/>
    <w:pPr>
      <w:ind w:left="720"/>
    </w:pPr>
    <w:rPr>
      <w:rFonts w:ascii="Calibri" w:eastAsia="MS Mincho" w:hAnsi="Calibri"/>
      <w:sz w:val="22"/>
      <w:szCs w:val="22"/>
      <w:lang w:val="en-GB" w:eastAsia="ja-JP"/>
    </w:rPr>
  </w:style>
  <w:style w:type="paragraph" w:customStyle="1" w:styleId="graf--p">
    <w:name w:val="graf--p"/>
    <w:basedOn w:val="Normal"/>
    <w:rsid w:val="00856D3A"/>
    <w:pPr>
      <w:spacing w:before="100" w:beforeAutospacing="1" w:after="100" w:afterAutospacing="1"/>
    </w:pPr>
    <w:rPr>
      <w:rFonts w:ascii="Times New Roman" w:eastAsia="Times New Roman" w:hAnsi="Times New Roman"/>
      <w:lang w:val="en-GB" w:eastAsia="en-GB"/>
    </w:rPr>
  </w:style>
  <w:style w:type="character" w:customStyle="1" w:styleId="Heading1Char">
    <w:name w:val="Heading 1 Char"/>
    <w:basedOn w:val="DefaultParagraphFont"/>
    <w:link w:val="Heading1"/>
    <w:uiPriority w:val="9"/>
    <w:rsid w:val="00410317"/>
    <w:rPr>
      <w:rFonts w:ascii="Times New Roman" w:eastAsiaTheme="minorEastAsia" w:hAnsi="Times New Roman"/>
      <w:b/>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ongress.world-psi.org/wp-content/uploads/2017/08/EN-PoA-inc-amdmtsaddendum-final-Aug-2017-circ-8.pdf" TargetMode="External"/><Relationship Id="rId13" Type="http://schemas.openxmlformats.org/officeDocument/2006/relationships/hyperlink" Target="http://www.world-psi.org/en/double-standards-how-uk-promotes-rip-health-ppps-abroad" TargetMode="External"/><Relationship Id="rId18" Type="http://schemas.openxmlformats.org/officeDocument/2006/relationships/hyperlink" Target="http://www.epsu.org/article/report-standing-committee-health-and-social-servic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orld-psi.org/en/right-health-newsletter-all-issues" TargetMode="External"/><Relationship Id="rId17" Type="http://schemas.openxmlformats.org/officeDocument/2006/relationships/hyperlink" Target="http://www.who.int/hrh/events/Dublin_Declaration-on-HumanResources-for-Health.pdf" TargetMode="External"/><Relationship Id="rId2" Type="http://schemas.openxmlformats.org/officeDocument/2006/relationships/numbering" Target="numbering.xml"/><Relationship Id="rId16" Type="http://schemas.openxmlformats.org/officeDocument/2006/relationships/hyperlink" Target="http://who.int/hrh/resources/global_strategy_workforce2030_14_print.pdf?ua=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paigns.world-psi.org/h/r/D3C8DE7AC9C4DE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who.int/gb/ebwha/pdf_files/WHA70/A70_18-en.pdf?ua=1" TargetMode="External"/><Relationship Id="rId23" Type="http://schemas.openxmlformats.org/officeDocument/2006/relationships/fontTable" Target="fontTable.xml"/><Relationship Id="rId10" Type="http://schemas.openxmlformats.org/officeDocument/2006/relationships/hyperlink" Target="http://www.world-psi.org/en/right-health-campaign-better-future-publichealth4al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psi.org/en/issue/health-and-social-care-services" TargetMode="External"/><Relationship Id="rId14" Type="http://schemas.openxmlformats.org/officeDocument/2006/relationships/hyperlink" Target="http://www.world-psi.org/en/right-health-central-kicking-out-hivaid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C4E6-65DE-4610-ADD2-D200DE8B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Alternative</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Chase</dc:creator>
  <cp:lastModifiedBy>Baba Aye</cp:lastModifiedBy>
  <cp:revision>4</cp:revision>
  <cp:lastPrinted>2017-12-22T13:21:00Z</cp:lastPrinted>
  <dcterms:created xsi:type="dcterms:W3CDTF">2018-02-02T03:53:00Z</dcterms:created>
  <dcterms:modified xsi:type="dcterms:W3CDTF">2018-02-02T04:01:00Z</dcterms:modified>
</cp:coreProperties>
</file>